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E4784" w14:textId="04842A9A" w:rsidR="008C647E" w:rsidRPr="00687114" w:rsidRDefault="00687114" w:rsidP="008C647E">
      <w:pPr>
        <w:spacing w:after="0" w:line="259" w:lineRule="auto"/>
        <w:ind w:left="-5" w:right="-5335" w:hanging="10"/>
        <w:jc w:val="left"/>
        <w:rPr>
          <w:rFonts w:eastAsia="Calibri"/>
          <w:sz w:val="23"/>
        </w:rPr>
      </w:pPr>
      <w:r w:rsidRPr="00687114">
        <w:rPr>
          <w:rFonts w:eastAsia="Calibri"/>
          <w:noProof/>
          <w:sz w:val="22"/>
        </w:rPr>
        <w:drawing>
          <wp:anchor distT="0" distB="0" distL="114300" distR="114300" simplePos="0" relativeHeight="251658752" behindDoc="0" locked="0" layoutInCell="1" allowOverlap="1" wp14:anchorId="53FF44FB" wp14:editId="29E3BE23">
            <wp:simplePos x="0" y="0"/>
            <wp:positionH relativeFrom="column">
              <wp:posOffset>3231515</wp:posOffset>
            </wp:positionH>
            <wp:positionV relativeFrom="paragraph">
              <wp:posOffset>-144526</wp:posOffset>
            </wp:positionV>
            <wp:extent cx="2613955" cy="876300"/>
            <wp:effectExtent l="0" t="0" r="0" b="0"/>
            <wp:wrapNone/>
            <wp:docPr id="37738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3955" cy="876300"/>
                    </a:xfrm>
                    <a:prstGeom prst="rect">
                      <a:avLst/>
                    </a:prstGeom>
                  </pic:spPr>
                </pic:pic>
              </a:graphicData>
            </a:graphic>
            <wp14:sizeRelH relativeFrom="margin">
              <wp14:pctWidth>0</wp14:pctWidth>
            </wp14:sizeRelH>
            <wp14:sizeRelV relativeFrom="margin">
              <wp14:pctHeight>0</wp14:pctHeight>
            </wp14:sizeRelV>
          </wp:anchor>
        </w:drawing>
      </w:r>
      <w:r w:rsidR="008C647E" w:rsidRPr="00687114">
        <w:rPr>
          <w:rFonts w:eastAsia="Calibri"/>
          <w:sz w:val="22"/>
        </w:rPr>
        <w:t xml:space="preserve">P-ISSN: </w:t>
      </w:r>
      <w:r w:rsidR="00CE3520" w:rsidRPr="00687114">
        <w:rPr>
          <w:rFonts w:eastAsia="Calibri"/>
          <w:sz w:val="22"/>
        </w:rPr>
        <w:t>2988-7860</w:t>
      </w:r>
    </w:p>
    <w:p w14:paraId="17DA599D" w14:textId="0670C80D" w:rsidR="00BD7577" w:rsidRPr="00687114" w:rsidRDefault="008C647E" w:rsidP="008C647E">
      <w:pPr>
        <w:spacing w:after="0" w:line="259" w:lineRule="auto"/>
        <w:ind w:left="-5" w:right="-5335" w:hanging="10"/>
        <w:jc w:val="left"/>
      </w:pPr>
      <w:r w:rsidRPr="00687114">
        <w:rPr>
          <w:rFonts w:eastAsia="Calibri"/>
          <w:sz w:val="22"/>
        </w:rPr>
        <w:t xml:space="preserve">E-ISSN: </w:t>
      </w:r>
      <w:r w:rsidR="00CE3520" w:rsidRPr="00687114">
        <w:rPr>
          <w:rFonts w:eastAsia="Calibri"/>
          <w:sz w:val="22"/>
        </w:rPr>
        <w:t>2988-7992</w:t>
      </w:r>
    </w:p>
    <w:p w14:paraId="2EAC9A87" w14:textId="77777777" w:rsidR="00BD7577" w:rsidRPr="00CE3520" w:rsidRDefault="008F42D3">
      <w:pPr>
        <w:spacing w:after="33" w:line="259" w:lineRule="auto"/>
        <w:ind w:left="3308" w:right="0" w:firstLine="0"/>
        <w:jc w:val="left"/>
      </w:pPr>
      <w:r w:rsidRPr="00CE3520">
        <w:rPr>
          <w:sz w:val="22"/>
        </w:rPr>
        <w:t xml:space="preserve"> </w:t>
      </w:r>
    </w:p>
    <w:p w14:paraId="70F14FB8" w14:textId="55F9E384" w:rsidR="00A475AA" w:rsidRPr="00687114" w:rsidRDefault="00590FB7" w:rsidP="00590FB7">
      <w:pPr>
        <w:spacing w:after="0" w:line="259" w:lineRule="auto"/>
        <w:ind w:left="24" w:right="0" w:firstLine="0"/>
        <w:jc w:val="center"/>
        <w:rPr>
          <w:b/>
          <w:sz w:val="28"/>
          <w:szCs w:val="24"/>
          <w:lang w:val="en-ID"/>
        </w:rPr>
      </w:pPr>
      <w:r w:rsidRPr="00590FB7">
        <w:rPr>
          <w:rFonts w:asciiTheme="majorBidi" w:hAnsiTheme="majorBidi" w:cstheme="majorBidi"/>
          <w:b/>
          <w:bCs/>
          <w:sz w:val="28"/>
          <w:szCs w:val="28"/>
        </w:rPr>
        <w:t>Pengaruh Employer Branding terhadap Turnover Intention Dimediasi Employee Engagement di XYZ Headhunter</w:t>
      </w:r>
    </w:p>
    <w:p w14:paraId="6E9A0F80" w14:textId="77777777" w:rsidR="00590FB7" w:rsidRDefault="00590FB7" w:rsidP="00687114">
      <w:pPr>
        <w:spacing w:after="0" w:line="240" w:lineRule="auto"/>
        <w:ind w:firstLine="0"/>
        <w:jc w:val="center"/>
        <w:rPr>
          <w:rFonts w:asciiTheme="majorBidi" w:hAnsiTheme="majorBidi" w:cstheme="majorBidi"/>
          <w:b/>
          <w:bCs/>
          <w:szCs w:val="24"/>
        </w:rPr>
      </w:pPr>
      <w:bookmarkStart w:id="0" w:name="_Hlk145512250"/>
    </w:p>
    <w:bookmarkEnd w:id="0"/>
    <w:p w14:paraId="2B96ECD9" w14:textId="6797B38F" w:rsidR="00590FB7" w:rsidRPr="0054744A" w:rsidRDefault="00590FB7" w:rsidP="00590FB7">
      <w:pPr>
        <w:ind w:firstLine="0"/>
        <w:jc w:val="center"/>
        <w:rPr>
          <w:b/>
          <w:bCs/>
          <w:szCs w:val="24"/>
          <w:vertAlign w:val="superscript"/>
        </w:rPr>
      </w:pPr>
      <w:r w:rsidRPr="0054744A">
        <w:rPr>
          <w:b/>
          <w:bCs/>
          <w:szCs w:val="24"/>
        </w:rPr>
        <w:t>Virgi Fahrezi Wibisono</w:t>
      </w:r>
      <w:r>
        <w:rPr>
          <w:b/>
          <w:bCs/>
          <w:szCs w:val="24"/>
        </w:rPr>
        <w:t xml:space="preserve">, </w:t>
      </w:r>
      <w:r w:rsidRPr="0054744A">
        <w:rPr>
          <w:b/>
          <w:bCs/>
          <w:szCs w:val="24"/>
        </w:rPr>
        <w:t>Ni Wayan Mujiati</w:t>
      </w:r>
    </w:p>
    <w:p w14:paraId="58090A56" w14:textId="77777777" w:rsidR="00590FB7" w:rsidRPr="00042A41" w:rsidRDefault="00590FB7" w:rsidP="00590FB7">
      <w:pPr>
        <w:ind w:firstLine="0"/>
        <w:jc w:val="center"/>
        <w:rPr>
          <w:szCs w:val="24"/>
        </w:rPr>
      </w:pPr>
      <w:r w:rsidRPr="00042A41">
        <w:rPr>
          <w:szCs w:val="24"/>
        </w:rPr>
        <w:t xml:space="preserve">Universitas </w:t>
      </w:r>
      <w:r>
        <w:rPr>
          <w:szCs w:val="24"/>
        </w:rPr>
        <w:t>Udayana, Indonesia</w:t>
      </w:r>
    </w:p>
    <w:p w14:paraId="6DDE6659" w14:textId="77777777" w:rsidR="00590FB7" w:rsidRPr="00590FB7" w:rsidRDefault="00590FB7" w:rsidP="00590FB7">
      <w:pPr>
        <w:ind w:firstLine="0"/>
        <w:jc w:val="center"/>
        <w:rPr>
          <w:color w:val="auto"/>
        </w:rPr>
      </w:pPr>
      <w:r w:rsidRPr="00CE3520">
        <w:rPr>
          <w:color w:val="auto"/>
        </w:rPr>
        <w:t xml:space="preserve">E-mail: </w:t>
      </w:r>
      <w:hyperlink r:id="rId10" w:history="1">
        <w:r w:rsidRPr="00590FB7">
          <w:rPr>
            <w:rStyle w:val="Hyperlink"/>
            <w:color w:val="auto"/>
            <w:u w:val="none"/>
          </w:rPr>
          <w:t>virgifahrezi177@student.unud.ac.id</w:t>
        </w:r>
      </w:hyperlink>
    </w:p>
    <w:p w14:paraId="08094DC3" w14:textId="77777777" w:rsidR="00590FB7" w:rsidRPr="00590FB7" w:rsidRDefault="00524ACD" w:rsidP="00590FB7">
      <w:pPr>
        <w:ind w:firstLine="0"/>
        <w:jc w:val="center"/>
        <w:rPr>
          <w:color w:val="auto"/>
        </w:rPr>
      </w:pPr>
      <w:hyperlink r:id="rId11" w:history="1">
        <w:r w:rsidR="00590FB7" w:rsidRPr="00590FB7">
          <w:rPr>
            <w:rStyle w:val="Hyperlink"/>
            <w:color w:val="auto"/>
            <w:u w:val="none"/>
          </w:rPr>
          <w:t>mujiatiniwayan@unud.ac.id</w:t>
        </w:r>
      </w:hyperlink>
      <w:r w:rsidR="00590FB7" w:rsidRPr="00590FB7">
        <w:rPr>
          <w:color w:val="auto"/>
        </w:rPr>
        <w:t xml:space="preserve"> </w:t>
      </w:r>
    </w:p>
    <w:p w14:paraId="5570BFA8" w14:textId="77777777" w:rsidR="00BD7577" w:rsidRPr="00CE3520" w:rsidRDefault="008F42D3">
      <w:pPr>
        <w:spacing w:after="9" w:line="259" w:lineRule="auto"/>
        <w:ind w:right="0" w:firstLine="0"/>
        <w:jc w:val="left"/>
      </w:pPr>
      <w:r w:rsidRPr="00CE3520">
        <w:rPr>
          <w:rFonts w:ascii="Calibri" w:eastAsia="Calibri" w:hAnsi="Calibri" w:cs="Calibri"/>
          <w:noProof/>
          <w:sz w:val="22"/>
        </w:rPr>
        <mc:AlternateContent>
          <mc:Choice Requires="wpg">
            <w:drawing>
              <wp:inline distT="0" distB="0" distL="0" distR="0" wp14:anchorId="26D0D343" wp14:editId="344584E3">
                <wp:extent cx="5676265" cy="6096"/>
                <wp:effectExtent l="0" t="0" r="0" b="0"/>
                <wp:docPr id="20426" name="Group 20426"/>
                <wp:cNvGraphicFramePr/>
                <a:graphic xmlns:a="http://schemas.openxmlformats.org/drawingml/2006/main">
                  <a:graphicData uri="http://schemas.microsoft.com/office/word/2010/wordprocessingGroup">
                    <wpg:wgp>
                      <wpg:cNvGrpSpPr/>
                      <wpg:grpSpPr>
                        <a:xfrm>
                          <a:off x="0" y="0"/>
                          <a:ext cx="5676265" cy="6096"/>
                          <a:chOff x="0" y="0"/>
                          <a:chExt cx="5676265" cy="6096"/>
                        </a:xfrm>
                      </wpg:grpSpPr>
                      <wps:wsp>
                        <wps:cNvPr id="26265" name="Shape 26265"/>
                        <wps:cNvSpPr/>
                        <wps:spPr>
                          <a:xfrm>
                            <a:off x="0" y="0"/>
                            <a:ext cx="5676265" cy="9144"/>
                          </a:xfrm>
                          <a:custGeom>
                            <a:avLst/>
                            <a:gdLst/>
                            <a:ahLst/>
                            <a:cxnLst/>
                            <a:rect l="0" t="0" r="0" b="0"/>
                            <a:pathLst>
                              <a:path w="5676265" h="9144">
                                <a:moveTo>
                                  <a:pt x="0" y="0"/>
                                </a:moveTo>
                                <a:lnTo>
                                  <a:pt x="5676265" y="0"/>
                                </a:lnTo>
                                <a:lnTo>
                                  <a:pt x="5676265"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4C0722" id="Group 20426" o:spid="_x0000_s1026" style="width:446.95pt;height:.5pt;mso-position-horizontal-relative:char;mso-position-vertical-relative:line" coordsize="567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">
                <v:shape id="Shape 26265" o:spid="_x0000_s1027" style="position:absolute;width:56762;height:91;visibility:visible;mso-wrap-style:square;v-text-anchor:top" coordsize="5676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" path="m,l5676265,r,9144l,9144,,e" fillcolor="#666" stroked="f" strokeweight="0">
                  <v:stroke miterlimit="83231f" joinstyle="miter"/>
                  <v:path arrowok="t" textboxrect="0,0,5676265,9144"/>
                </v:shape>
                <w10:anchorlock/>
              </v:group>
            </w:pict>
          </mc:Fallback>
        </mc:AlternateContent>
      </w:r>
    </w:p>
    <w:p w14:paraId="61756EF7" w14:textId="2FF96F30" w:rsidR="00BD7577" w:rsidRPr="00CE3520" w:rsidRDefault="00590FB7" w:rsidP="00035201">
      <w:pPr>
        <w:pStyle w:val="Heading1"/>
        <w:ind w:left="0" w:right="0" w:firstLine="0"/>
        <w:rPr>
          <w:color w:val="auto"/>
        </w:rPr>
      </w:pPr>
      <w:r>
        <w:rPr>
          <w:color w:val="auto"/>
          <w:u w:color="666666"/>
        </w:rPr>
        <w:t>KATA KUNCI</w:t>
      </w:r>
      <w:r w:rsidR="00035201" w:rsidRPr="00CE3520">
        <w:rPr>
          <w:color w:val="auto"/>
          <w:u w:color="666666"/>
        </w:rPr>
        <w:t xml:space="preserve">                      </w:t>
      </w:r>
      <w:r w:rsidR="008C647E" w:rsidRPr="00CE3520">
        <w:rPr>
          <w:i/>
          <w:color w:val="auto"/>
          <w:u w:color="666666"/>
        </w:rPr>
        <w:t xml:space="preserve">    </w:t>
      </w:r>
      <w:r w:rsidR="00035201" w:rsidRPr="00CE3520">
        <w:rPr>
          <w:i/>
          <w:color w:val="auto"/>
          <w:u w:color="666666"/>
        </w:rPr>
        <w:t xml:space="preserve">  </w:t>
      </w:r>
      <w:r w:rsidR="008C647E" w:rsidRPr="00CE3520">
        <w:rPr>
          <w:i/>
          <w:color w:val="auto"/>
          <w:u w:color="666666"/>
        </w:rPr>
        <w:t xml:space="preserve">                 </w:t>
      </w:r>
      <w:r w:rsidR="00035201" w:rsidRPr="00CE3520">
        <w:rPr>
          <w:i/>
          <w:color w:val="auto"/>
          <w:u w:color="666666"/>
        </w:rPr>
        <w:t xml:space="preserve"> </w:t>
      </w:r>
      <w:r w:rsidR="008C647E" w:rsidRPr="00CE3520">
        <w:rPr>
          <w:i/>
          <w:color w:val="auto"/>
          <w:u w:color="666666"/>
        </w:rPr>
        <w:t xml:space="preserve">   </w:t>
      </w:r>
      <w:r w:rsidR="008F42D3" w:rsidRPr="00CE3520">
        <w:rPr>
          <w:i/>
          <w:color w:val="auto"/>
        </w:rPr>
        <w:t xml:space="preserve"> </w:t>
      </w:r>
      <w:r>
        <w:rPr>
          <w:color w:val="auto"/>
        </w:rPr>
        <w:t>ABSTRAK</w:t>
      </w:r>
    </w:p>
    <w:tbl>
      <w:tblPr>
        <w:tblStyle w:val="TableGrid"/>
        <w:tblW w:w="9092" w:type="dxa"/>
        <w:tblInd w:w="-14" w:type="dxa"/>
        <w:tblCellMar>
          <w:top w:w="13" w:type="dxa"/>
          <w:right w:w="53" w:type="dxa"/>
        </w:tblCellMar>
        <w:tblLook w:val="04A0" w:firstRow="1" w:lastRow="0" w:firstColumn="1" w:lastColumn="0" w:noHBand="0" w:noVBand="1"/>
      </w:tblPr>
      <w:tblGrid>
        <w:gridCol w:w="2566"/>
        <w:gridCol w:w="6526"/>
      </w:tblGrid>
      <w:tr w:rsidR="00BD7577" w:rsidRPr="00CE3520" w14:paraId="7FF9E9BA" w14:textId="77777777" w:rsidTr="00687114">
        <w:trPr>
          <w:trHeight w:val="1919"/>
        </w:trPr>
        <w:tc>
          <w:tcPr>
            <w:tcW w:w="2566" w:type="dxa"/>
            <w:tcBorders>
              <w:top w:val="nil"/>
              <w:left w:val="nil"/>
              <w:bottom w:val="single" w:sz="4" w:space="0" w:color="666666"/>
              <w:right w:val="nil"/>
            </w:tcBorders>
          </w:tcPr>
          <w:p w14:paraId="712ED8E3" w14:textId="10EE21C5" w:rsidR="00BD7577" w:rsidRPr="00687114" w:rsidRDefault="00590FB7" w:rsidP="00412D38">
            <w:pPr>
              <w:tabs>
                <w:tab w:val="right" w:pos="2062"/>
              </w:tabs>
              <w:spacing w:after="27" w:line="259" w:lineRule="auto"/>
              <w:ind w:right="0" w:firstLine="0"/>
              <w:jc w:val="left"/>
              <w:rPr>
                <w:sz w:val="22"/>
                <w:lang w:val="en-ID"/>
              </w:rPr>
            </w:pPr>
            <w:r w:rsidRPr="00590FB7">
              <w:rPr>
                <w:rFonts w:asciiTheme="majorBidi" w:hAnsiTheme="majorBidi" w:cstheme="majorBidi"/>
                <w:sz w:val="22"/>
                <w:lang w:val="id-ID"/>
              </w:rPr>
              <w:t>Branding perusahaan, niat turnover, keterlibatan karyawan</w:t>
            </w:r>
          </w:p>
        </w:tc>
        <w:tc>
          <w:tcPr>
            <w:tcW w:w="6526" w:type="dxa"/>
            <w:tcBorders>
              <w:top w:val="single" w:sz="4" w:space="0" w:color="666666"/>
              <w:left w:val="nil"/>
              <w:bottom w:val="single" w:sz="4" w:space="0" w:color="666666"/>
              <w:right w:val="nil"/>
            </w:tcBorders>
          </w:tcPr>
          <w:p w14:paraId="0ED0EBFC" w14:textId="55EF3020" w:rsidR="00035201" w:rsidRPr="00DE736F" w:rsidRDefault="00590FB7" w:rsidP="00590FB7">
            <w:pPr>
              <w:spacing w:after="0" w:line="240" w:lineRule="auto"/>
              <w:ind w:firstLine="0"/>
              <w:rPr>
                <w:iCs/>
                <w:sz w:val="22"/>
              </w:rPr>
            </w:pPr>
            <w:r w:rsidRPr="00035415">
              <w:rPr>
                <w:i/>
                <w:iCs/>
                <w:sz w:val="22"/>
                <w:szCs w:val="20"/>
              </w:rPr>
              <w:t>Turnover intention</w:t>
            </w:r>
            <w:r w:rsidRPr="0054744A">
              <w:rPr>
                <w:sz w:val="22"/>
                <w:szCs w:val="20"/>
              </w:rPr>
              <w:t xml:space="preserve"> merupakan sebuah keputusan mental atau psikis yang ada antara pendekatan individu dengan mengacu pada melanjutkan sebuah pekerjaan atau untuk meninggalkan sebuah pekerjaan. </w:t>
            </w:r>
            <w:r w:rsidRPr="00035415">
              <w:rPr>
                <w:i/>
                <w:iCs/>
                <w:sz w:val="22"/>
                <w:szCs w:val="20"/>
              </w:rPr>
              <w:t>Turnover</w:t>
            </w:r>
            <w:r w:rsidRPr="0054744A">
              <w:rPr>
                <w:sz w:val="22"/>
                <w:szCs w:val="20"/>
              </w:rPr>
              <w:t xml:space="preserve"> ini bisa menjadi petunjuk kestabilan karyawan dalam sebuah organisasi maupun perusahaan, artinya apabila semakin sering atau semakin tinggi tingkat </w:t>
            </w:r>
            <w:r w:rsidRPr="00035415">
              <w:rPr>
                <w:i/>
                <w:iCs/>
                <w:sz w:val="22"/>
                <w:szCs w:val="20"/>
              </w:rPr>
              <w:t>turnover</w:t>
            </w:r>
            <w:r w:rsidRPr="0054744A">
              <w:rPr>
                <w:sz w:val="22"/>
                <w:szCs w:val="20"/>
              </w:rPr>
              <w:t xml:space="preserve"> maka organisasi tersebut dapat dikatakan tidak stabil. </w:t>
            </w:r>
            <w:r w:rsidRPr="00DD5014">
              <w:rPr>
                <w:sz w:val="22"/>
                <w:szCs w:val="20"/>
              </w:rPr>
              <w:t>Berdasarkan hasil pra survei yang dilakukan sebanyak 10 orang di Startup XYZ Headhunter, dengan menggunakan tiga indikator pernyataan hasilnya sebagian besar responden menunjukkan adanya keinginan untuk keluar dari perusahaan</w:t>
            </w:r>
            <w:r>
              <w:rPr>
                <w:sz w:val="22"/>
                <w:szCs w:val="20"/>
              </w:rPr>
              <w:t xml:space="preserve">. </w:t>
            </w:r>
            <w:r w:rsidRPr="0054744A">
              <w:rPr>
                <w:sz w:val="22"/>
                <w:szCs w:val="20"/>
              </w:rPr>
              <w:t xml:space="preserve">Penelitian ini menggunakan variabel </w:t>
            </w:r>
            <w:r w:rsidRPr="00035415">
              <w:rPr>
                <w:i/>
                <w:iCs/>
                <w:sz w:val="22"/>
                <w:szCs w:val="20"/>
              </w:rPr>
              <w:t>employer branding</w:t>
            </w:r>
            <w:r w:rsidRPr="0054744A">
              <w:rPr>
                <w:sz w:val="22"/>
                <w:szCs w:val="20"/>
              </w:rPr>
              <w:t xml:space="preserve"> sebagai variabel eksogen dan </w:t>
            </w:r>
            <w:r w:rsidRPr="00035415">
              <w:rPr>
                <w:i/>
                <w:iCs/>
                <w:sz w:val="22"/>
                <w:szCs w:val="20"/>
              </w:rPr>
              <w:t>employee engagement</w:t>
            </w:r>
            <w:r w:rsidRPr="0054744A">
              <w:rPr>
                <w:sz w:val="22"/>
                <w:szCs w:val="20"/>
              </w:rPr>
              <w:t xml:space="preserve"> sebagai variabel mediasi. </w:t>
            </w:r>
            <w:r w:rsidRPr="00035415">
              <w:rPr>
                <w:i/>
                <w:iCs/>
                <w:sz w:val="22"/>
                <w:szCs w:val="20"/>
              </w:rPr>
              <w:t>Employer branding</w:t>
            </w:r>
            <w:r w:rsidRPr="0054744A">
              <w:rPr>
                <w:sz w:val="22"/>
                <w:szCs w:val="20"/>
              </w:rPr>
              <w:t xml:space="preserve"> merupakan sebuah konsep dari pemasaran yang diterapkan di manajemen SDM untuk mem-branding perusahaan menjadi tempat kerja yang diinginkan, sementara </w:t>
            </w:r>
            <w:r w:rsidRPr="00035415">
              <w:rPr>
                <w:i/>
                <w:iCs/>
                <w:sz w:val="22"/>
                <w:szCs w:val="20"/>
              </w:rPr>
              <w:t>employee engagement</w:t>
            </w:r>
            <w:r w:rsidRPr="0054744A">
              <w:rPr>
                <w:sz w:val="22"/>
                <w:szCs w:val="20"/>
              </w:rPr>
              <w:t xml:space="preserve"> merupakan pemberdayaan para anggota organisasi terhadap posisi dan perannya di perusahaan. Penelitian ini bertujuan untuk mengertahui </w:t>
            </w:r>
            <w:r w:rsidRPr="00035415">
              <w:rPr>
                <w:i/>
                <w:iCs/>
                <w:sz w:val="22"/>
                <w:szCs w:val="20"/>
              </w:rPr>
              <w:t>employee engagement</w:t>
            </w:r>
            <w:r w:rsidRPr="0054744A">
              <w:rPr>
                <w:sz w:val="22"/>
                <w:szCs w:val="20"/>
              </w:rPr>
              <w:t xml:space="preserve"> dalam memediasi pengaruh </w:t>
            </w:r>
            <w:r w:rsidRPr="00035415">
              <w:rPr>
                <w:i/>
                <w:iCs/>
                <w:sz w:val="22"/>
                <w:szCs w:val="20"/>
              </w:rPr>
              <w:t>employer branding</w:t>
            </w:r>
            <w:r w:rsidRPr="0054744A">
              <w:rPr>
                <w:sz w:val="22"/>
                <w:szCs w:val="20"/>
              </w:rPr>
              <w:t xml:space="preserve"> terhadap turnover intention di XYZ Headhunter. Penelitian ini dilakukan di XYZ Headhunter dengan jumlah sampel 32 responden dengan metode penarikan sampel jenuh. Pengumpulan data dilakukan menggunakan pendekatan survei, dimana instrumen penelitian yang digunakan adalah kuesioner. Data yang dikumpulkan tersebut kemudian dianalisis menggunakan teknik analisis jalur </w:t>
            </w:r>
            <w:r w:rsidRPr="00035415">
              <w:rPr>
                <w:i/>
                <w:iCs/>
                <w:sz w:val="22"/>
                <w:szCs w:val="20"/>
              </w:rPr>
              <w:t>(path analysis)</w:t>
            </w:r>
            <w:r w:rsidRPr="0054744A">
              <w:rPr>
                <w:sz w:val="22"/>
                <w:szCs w:val="20"/>
              </w:rPr>
              <w:t>, dan uji sobel digunakan pada penelitian ini untuk menguji hipotesis penelitian ini. Hasil</w:t>
            </w:r>
            <w:r>
              <w:rPr>
                <w:sz w:val="22"/>
                <w:szCs w:val="20"/>
              </w:rPr>
              <w:t xml:space="preserve"> dan kesimpulan</w:t>
            </w:r>
            <w:r w:rsidRPr="0054744A">
              <w:rPr>
                <w:sz w:val="22"/>
                <w:szCs w:val="20"/>
              </w:rPr>
              <w:t xml:space="preserve"> penelitian ini menunjukkan bahwa </w:t>
            </w:r>
            <w:r w:rsidRPr="00035415">
              <w:rPr>
                <w:i/>
                <w:iCs/>
                <w:sz w:val="22"/>
                <w:szCs w:val="20"/>
              </w:rPr>
              <w:t>employer branding</w:t>
            </w:r>
            <w:r w:rsidRPr="0054744A">
              <w:rPr>
                <w:sz w:val="22"/>
                <w:szCs w:val="20"/>
              </w:rPr>
              <w:t xml:space="preserve"> tidak berpengaruh terhadap turnover intention, employer branding berpengaruh positif dan signifikan terhadap </w:t>
            </w:r>
            <w:r w:rsidRPr="00035415">
              <w:rPr>
                <w:i/>
                <w:iCs/>
                <w:sz w:val="22"/>
                <w:szCs w:val="20"/>
              </w:rPr>
              <w:t>employee engagement</w:t>
            </w:r>
            <w:r w:rsidRPr="0054744A">
              <w:rPr>
                <w:sz w:val="22"/>
                <w:szCs w:val="20"/>
              </w:rPr>
              <w:t xml:space="preserve">, </w:t>
            </w:r>
            <w:r w:rsidRPr="00035415">
              <w:rPr>
                <w:i/>
                <w:iCs/>
                <w:sz w:val="22"/>
                <w:szCs w:val="20"/>
              </w:rPr>
              <w:t>employee engagement</w:t>
            </w:r>
            <w:r w:rsidRPr="0054744A">
              <w:rPr>
                <w:sz w:val="22"/>
                <w:szCs w:val="20"/>
              </w:rPr>
              <w:t xml:space="preserve"> tidak berpengaruh terhadap </w:t>
            </w:r>
            <w:r w:rsidRPr="00035415">
              <w:rPr>
                <w:i/>
                <w:iCs/>
                <w:sz w:val="22"/>
                <w:szCs w:val="20"/>
              </w:rPr>
              <w:t>turnover intention</w:t>
            </w:r>
            <w:r w:rsidRPr="0054744A">
              <w:rPr>
                <w:sz w:val="22"/>
                <w:szCs w:val="20"/>
              </w:rPr>
              <w:t xml:space="preserve">, dan </w:t>
            </w:r>
            <w:r w:rsidRPr="00035415">
              <w:rPr>
                <w:i/>
                <w:iCs/>
                <w:sz w:val="22"/>
                <w:szCs w:val="20"/>
              </w:rPr>
              <w:t>employee engagement</w:t>
            </w:r>
            <w:r w:rsidRPr="0054744A">
              <w:rPr>
                <w:sz w:val="22"/>
                <w:szCs w:val="20"/>
              </w:rPr>
              <w:t xml:space="preserve"> tidak memediasi pengaruh </w:t>
            </w:r>
            <w:r w:rsidRPr="00035415">
              <w:rPr>
                <w:i/>
                <w:iCs/>
                <w:sz w:val="22"/>
                <w:szCs w:val="20"/>
              </w:rPr>
              <w:t>employer branding</w:t>
            </w:r>
            <w:r w:rsidRPr="0054744A">
              <w:rPr>
                <w:sz w:val="22"/>
                <w:szCs w:val="20"/>
              </w:rPr>
              <w:t xml:space="preserve"> terhadap </w:t>
            </w:r>
            <w:r w:rsidRPr="00035415">
              <w:rPr>
                <w:i/>
                <w:iCs/>
                <w:sz w:val="22"/>
                <w:szCs w:val="20"/>
              </w:rPr>
              <w:t>turnover intention</w:t>
            </w:r>
            <w:r w:rsidRPr="0054744A">
              <w:rPr>
                <w:sz w:val="22"/>
                <w:szCs w:val="20"/>
              </w:rPr>
              <w:t>.</w:t>
            </w:r>
          </w:p>
        </w:tc>
      </w:tr>
    </w:tbl>
    <w:p w14:paraId="318873D7" w14:textId="46423A1F" w:rsidR="008C647E" w:rsidRPr="00687114" w:rsidRDefault="00590FB7" w:rsidP="008F2323">
      <w:pPr>
        <w:spacing w:after="0" w:line="276" w:lineRule="auto"/>
        <w:ind w:right="37" w:firstLine="0"/>
        <w:rPr>
          <w:b/>
          <w:lang w:val="en-ID"/>
        </w:rPr>
      </w:pPr>
      <w:r>
        <w:rPr>
          <w:b/>
          <w:lang w:val="en-ID"/>
        </w:rPr>
        <w:t>PENDAHULUAN</w:t>
      </w:r>
    </w:p>
    <w:p w14:paraId="57762D1E" w14:textId="77777777" w:rsidR="00590FB7" w:rsidRPr="00590FB7" w:rsidRDefault="00590FB7" w:rsidP="00590FB7">
      <w:pPr>
        <w:spacing w:after="0" w:line="276" w:lineRule="auto"/>
        <w:ind w:firstLine="567"/>
        <w:rPr>
          <w:szCs w:val="24"/>
        </w:rPr>
      </w:pPr>
      <w:proofErr w:type="gramStart"/>
      <w:r w:rsidRPr="00590FB7">
        <w:rPr>
          <w:szCs w:val="24"/>
        </w:rPr>
        <w:t>Turnover intention ini merupakan salah satu perilaku dalam organizational behavior (perilaku organisasi) secara individu.</w:t>
      </w:r>
      <w:proofErr w:type="gramEnd"/>
      <w:r w:rsidRPr="00590FB7">
        <w:rPr>
          <w:szCs w:val="24"/>
        </w:rPr>
        <w:t xml:space="preserve"> </w:t>
      </w:r>
      <w:proofErr w:type="gramStart"/>
      <w:r w:rsidRPr="00590FB7">
        <w:rPr>
          <w:szCs w:val="24"/>
        </w:rPr>
        <w:t>Perilaku organisasi berkaitan dengan dinamika psikologis, interpersonal, dan perilaku dalam organisasi yang diperlukan untuk efektivitas kinerja (Nelson &amp; Quick, 2003).</w:t>
      </w:r>
      <w:proofErr w:type="gramEnd"/>
      <w:r w:rsidRPr="00590FB7">
        <w:rPr>
          <w:szCs w:val="24"/>
        </w:rPr>
        <w:t xml:space="preserve"> </w:t>
      </w:r>
      <w:proofErr w:type="gramStart"/>
      <w:r w:rsidRPr="00590FB7">
        <w:rPr>
          <w:szCs w:val="24"/>
        </w:rPr>
        <w:t>Turnover intention (Jacobs &amp; Roodt, 2007) merupakan sebuah keputusan mental atau psikis yang ada antara pendekatan individu dengan mengacu pada melanjutkan sebuah pekerjaan atau untuk meninggalkan sebuah pekerjaan.</w:t>
      </w:r>
      <w:proofErr w:type="gramEnd"/>
      <w:r w:rsidRPr="00590FB7">
        <w:rPr>
          <w:szCs w:val="24"/>
        </w:rPr>
        <w:t xml:space="preserve"> </w:t>
      </w:r>
      <w:proofErr w:type="gramStart"/>
      <w:r w:rsidRPr="00590FB7">
        <w:rPr>
          <w:szCs w:val="24"/>
        </w:rPr>
        <w:t>Turnover ini bisa menjadi petunjuk kestabilan karyawan dalam sebuah organisasi maupun perusahaan, artinya apabila semakin sering atau semakin tinggi tingkat turnover maka organisasi tersebut dapat dikatakan tidak stabil.</w:t>
      </w:r>
      <w:proofErr w:type="gramEnd"/>
      <w:r w:rsidRPr="00590FB7">
        <w:rPr>
          <w:szCs w:val="24"/>
        </w:rPr>
        <w:t xml:space="preserve">  </w:t>
      </w:r>
    </w:p>
    <w:p w14:paraId="6BADC298" w14:textId="77777777" w:rsidR="00590FB7" w:rsidRPr="00590FB7" w:rsidRDefault="00590FB7" w:rsidP="00590FB7">
      <w:pPr>
        <w:spacing w:after="0" w:line="276" w:lineRule="auto"/>
        <w:ind w:firstLine="567"/>
        <w:rPr>
          <w:szCs w:val="24"/>
        </w:rPr>
      </w:pPr>
      <w:proofErr w:type="gramStart"/>
      <w:r w:rsidRPr="00590FB7">
        <w:rPr>
          <w:szCs w:val="24"/>
        </w:rPr>
        <w:lastRenderedPageBreak/>
        <w:t>Turnover intention ini memiliki kecenderungan seorang karyawan memungkinkan atau memiliki keinginan untuk keluar dari perusahaan.</w:t>
      </w:r>
      <w:proofErr w:type="gramEnd"/>
      <w:r w:rsidRPr="00590FB7">
        <w:rPr>
          <w:szCs w:val="24"/>
        </w:rPr>
        <w:t xml:space="preserve"> </w:t>
      </w:r>
      <w:proofErr w:type="gramStart"/>
      <w:r w:rsidRPr="00590FB7">
        <w:rPr>
          <w:szCs w:val="24"/>
        </w:rPr>
        <w:t>Dikutip dari (Annur, 2019) menyebutkan bahwa di Indonesia telah terjadi fenomena tingkat pengunduran diri karyawan startup mencapai 25% setiap tahun.</w:t>
      </w:r>
      <w:proofErr w:type="gramEnd"/>
      <w:r w:rsidRPr="00590FB7">
        <w:rPr>
          <w:szCs w:val="24"/>
        </w:rPr>
        <w:t xml:space="preserve"> Berdasarkan hasil pra survei yang dilakukan sebanyak 10 orang di Startup XYZ Headhunter, dengan menggunakan tiga indikator pernyataan hasilnya sebagian besar responden menunjukkan adanya keinginan untuk keluar dari perusahaan, di mana ketiga indikator tersebut menurut (Mobley, 2011) yaitu Thinking of Quiting, Intention to Search, dan Intention to Quit.</w:t>
      </w:r>
    </w:p>
    <w:p w14:paraId="040F343D" w14:textId="77777777" w:rsidR="00590FB7" w:rsidRPr="00590FB7" w:rsidRDefault="00590FB7" w:rsidP="00590FB7">
      <w:pPr>
        <w:spacing w:after="0" w:line="276" w:lineRule="auto"/>
        <w:ind w:firstLine="567"/>
        <w:rPr>
          <w:szCs w:val="24"/>
        </w:rPr>
      </w:pPr>
      <w:proofErr w:type="gramStart"/>
      <w:r w:rsidRPr="00590FB7">
        <w:rPr>
          <w:szCs w:val="24"/>
        </w:rPr>
        <w:t>Employer branding di adaptasi dari konsep pemasaran yang mana perusahaan menawarkan produk dan jasa kepada konsumen.</w:t>
      </w:r>
      <w:proofErr w:type="gramEnd"/>
      <w:r w:rsidRPr="00590FB7">
        <w:rPr>
          <w:szCs w:val="24"/>
        </w:rPr>
        <w:t xml:space="preserve"> </w:t>
      </w:r>
      <w:proofErr w:type="gramStart"/>
      <w:r w:rsidRPr="00590FB7">
        <w:rPr>
          <w:szCs w:val="24"/>
        </w:rPr>
        <w:t>Penerapan konsep branding ini yang digunakan oleh bagian Human Resources (HR) untuk mem-branding organisasi dan perusahaan sebagai produk kemudian karyawan dan jobseeker sebagai pelanggan.</w:t>
      </w:r>
      <w:proofErr w:type="gramEnd"/>
      <w:r w:rsidRPr="00590FB7">
        <w:rPr>
          <w:szCs w:val="24"/>
        </w:rPr>
        <w:t xml:space="preserve"> </w:t>
      </w:r>
      <w:proofErr w:type="gramStart"/>
      <w:r w:rsidRPr="00590FB7">
        <w:rPr>
          <w:szCs w:val="24"/>
        </w:rPr>
        <w:t>Employer branding dapat mempengaruhi keputusan karyawan untuk tetap bekerja di perusahaan ataupun untuk meninggalkannya (Sponheuer, 2010).</w:t>
      </w:r>
      <w:proofErr w:type="gramEnd"/>
      <w:r w:rsidRPr="00590FB7">
        <w:rPr>
          <w:szCs w:val="24"/>
        </w:rPr>
        <w:t xml:space="preserve"> Penerapan konsep ini </w:t>
      </w:r>
      <w:proofErr w:type="gramStart"/>
      <w:r w:rsidRPr="00590FB7">
        <w:rPr>
          <w:szCs w:val="24"/>
        </w:rPr>
        <w:t>akan</w:t>
      </w:r>
      <w:proofErr w:type="gramEnd"/>
      <w:r w:rsidRPr="00590FB7">
        <w:rPr>
          <w:szCs w:val="24"/>
        </w:rPr>
        <w:t xml:space="preserve"> memperkuat branding internal perusahaan dan menjadikannya lebih menarik bagi karyawan dan calon tenaga kerja (Ambler &amp; Barrow, 1996). </w:t>
      </w:r>
      <w:proofErr w:type="gramStart"/>
      <w:r w:rsidRPr="00590FB7">
        <w:rPr>
          <w:szCs w:val="24"/>
        </w:rPr>
        <w:t>Employer branding (Marthinus, 2020) bisa dianggap sebagai metode dalam mempertahankan karyawan karena hal tersebut berkaitan dengan mempengaruhi keseluruhan pengalaman kerja, mendorong konsep ‘a good place to work’ dan mengurangi voluntary turnover.</w:t>
      </w:r>
      <w:proofErr w:type="gramEnd"/>
    </w:p>
    <w:p w14:paraId="5653B4BE" w14:textId="77777777" w:rsidR="00590FB7" w:rsidRPr="00590FB7" w:rsidRDefault="00590FB7" w:rsidP="00590FB7">
      <w:pPr>
        <w:spacing w:after="0" w:line="276" w:lineRule="auto"/>
        <w:ind w:firstLine="567"/>
        <w:rPr>
          <w:szCs w:val="24"/>
        </w:rPr>
      </w:pPr>
      <w:proofErr w:type="gramStart"/>
      <w:r w:rsidRPr="00590FB7">
        <w:rPr>
          <w:szCs w:val="24"/>
        </w:rPr>
        <w:t>Employee engagement merupakan salah satu faktor yang dapat mempengaruhi tingkat loyalitas karyawan di sebuah organisasi atau perusahaan.</w:t>
      </w:r>
      <w:proofErr w:type="gramEnd"/>
      <w:r w:rsidRPr="00590FB7">
        <w:rPr>
          <w:szCs w:val="24"/>
        </w:rPr>
        <w:t xml:space="preserve"> </w:t>
      </w:r>
      <w:proofErr w:type="gramStart"/>
      <w:r w:rsidRPr="00590FB7">
        <w:rPr>
          <w:szCs w:val="24"/>
        </w:rPr>
        <w:t>Perasaan positif dan antusias yang tinggi terhadap pekerjaan di perusahaan juga dapat disebut dengan employee engagement (Muliawan, dkk. 2017).</w:t>
      </w:r>
      <w:proofErr w:type="gramEnd"/>
      <w:r w:rsidRPr="00590FB7">
        <w:rPr>
          <w:szCs w:val="24"/>
        </w:rPr>
        <w:t xml:space="preserve"> Employee engagement dapat diartikan sebagai pernyataan psikologis yang mana karyawan merasa tertarik untuk mencapai kesuksesan di dalam perusahaan serta memiliki motivasi yang kuat untuk tetap terhubung dengan karyawan </w:t>
      </w:r>
      <w:proofErr w:type="gramStart"/>
      <w:r w:rsidRPr="00590FB7">
        <w:rPr>
          <w:szCs w:val="24"/>
        </w:rPr>
        <w:t>lain</w:t>
      </w:r>
      <w:proofErr w:type="gramEnd"/>
      <w:r w:rsidRPr="00590FB7">
        <w:rPr>
          <w:szCs w:val="24"/>
        </w:rPr>
        <w:t xml:space="preserve"> di dalam organisasi (Handoyo &amp; Setiawan, 2017).</w:t>
      </w:r>
    </w:p>
    <w:p w14:paraId="6449B9C8" w14:textId="77777777" w:rsidR="00590FB7" w:rsidRPr="00590FB7" w:rsidRDefault="00590FB7" w:rsidP="00590FB7">
      <w:pPr>
        <w:spacing w:after="0" w:line="276" w:lineRule="auto"/>
        <w:ind w:firstLine="567"/>
        <w:rPr>
          <w:szCs w:val="24"/>
        </w:rPr>
      </w:pPr>
      <w:proofErr w:type="gramStart"/>
      <w:r w:rsidRPr="00590FB7">
        <w:rPr>
          <w:szCs w:val="24"/>
        </w:rPr>
        <w:t>Startup XYZ Headhunter merupakan startup yang bergerak di bidang jasa rekrutmen dan seleksi tenaga kerja.</w:t>
      </w:r>
      <w:proofErr w:type="gramEnd"/>
      <w:r w:rsidRPr="00590FB7">
        <w:rPr>
          <w:szCs w:val="24"/>
        </w:rPr>
        <w:t xml:space="preserve"> Startup ini menawarkan solusi bagi perusahaan yang membutuhkan proses rekrutmen yang efektif dan efisien. </w:t>
      </w:r>
      <w:proofErr w:type="gramStart"/>
      <w:r w:rsidRPr="00590FB7">
        <w:rPr>
          <w:szCs w:val="24"/>
        </w:rPr>
        <w:t>Selain itu, XYZ juga memberikan layanan konsultasi dan pengembangan sumber daya manusia kepada perusahaan klien untuk meningkatkan kualitas karyawan dan produktivitas perusahaan.</w:t>
      </w:r>
      <w:proofErr w:type="gramEnd"/>
      <w:r w:rsidRPr="00590FB7">
        <w:rPr>
          <w:szCs w:val="24"/>
        </w:rPr>
        <w:t xml:space="preserve"> XYZ Headhunter memiliki total 34 karyawan, di mana 2 (dua) orang menjabat posisi C-Level, 3 (tiga) orang dalam </w:t>
      </w:r>
      <w:proofErr w:type="gramStart"/>
      <w:r w:rsidRPr="00590FB7">
        <w:rPr>
          <w:szCs w:val="24"/>
        </w:rPr>
        <w:t>tim</w:t>
      </w:r>
      <w:proofErr w:type="gramEnd"/>
      <w:r w:rsidRPr="00590FB7">
        <w:rPr>
          <w:szCs w:val="24"/>
        </w:rPr>
        <w:t xml:space="preserve"> kreatif/graphic designer, 1 (satu) orang tim IT, 4 (empat) orang tim social media, dan 24 (dua puluh empat) tim recruitment consultant. </w:t>
      </w:r>
    </w:p>
    <w:p w14:paraId="2C83D59E" w14:textId="7B6928E9" w:rsidR="00961C04" w:rsidRDefault="00590FB7" w:rsidP="00590FB7">
      <w:pPr>
        <w:spacing w:after="0" w:line="276" w:lineRule="auto"/>
        <w:ind w:firstLine="567"/>
        <w:rPr>
          <w:szCs w:val="24"/>
        </w:rPr>
      </w:pPr>
      <w:r w:rsidRPr="00590FB7">
        <w:rPr>
          <w:szCs w:val="24"/>
        </w:rPr>
        <w:t>Penelitian ini dilakukan di startup yang mana masih tergolong cukup baru mengingat perusahaan rintisan ini berdiri pada tahun 2021, sehingga penting bagi perusahaan menjadi bahan evaluasi dalam proses bisnisnya. Selain itu, variabel employer branding yang masih belum banyak digunakan dalam menguji variabel employe branding dengan employee engagement yang menjadi variabel mediasi, penelitian ini menjadi bahan kajian selanjutnya bagi peneliti selanjutnya dengan variasi variabel yang relevan dan menambah kajian-kajian baru terkait penelitian ini (Melin, 2005).</w:t>
      </w:r>
    </w:p>
    <w:p w14:paraId="0C536B22" w14:textId="77777777" w:rsidR="00590FB7" w:rsidRPr="00961C04" w:rsidRDefault="00590FB7" w:rsidP="00590FB7">
      <w:pPr>
        <w:spacing w:after="0" w:line="276" w:lineRule="auto"/>
        <w:ind w:firstLine="567"/>
        <w:rPr>
          <w:szCs w:val="24"/>
        </w:rPr>
      </w:pPr>
    </w:p>
    <w:p w14:paraId="50FB7F94" w14:textId="69C8BDD0" w:rsidR="00BD7577" w:rsidRPr="00687114" w:rsidRDefault="00590FB7">
      <w:pPr>
        <w:pStyle w:val="Heading1"/>
        <w:ind w:left="-5" w:right="432"/>
        <w:rPr>
          <w:lang w:val="en-ID"/>
        </w:rPr>
      </w:pPr>
      <w:r>
        <w:rPr>
          <w:lang w:val="en-ID"/>
        </w:rPr>
        <w:t>METODE PENELITIAN</w:t>
      </w:r>
    </w:p>
    <w:p w14:paraId="2B7573F4" w14:textId="77777777" w:rsidR="00590FB7" w:rsidRPr="00590FB7" w:rsidRDefault="00590FB7" w:rsidP="00590FB7">
      <w:pPr>
        <w:spacing w:after="0" w:line="276" w:lineRule="auto"/>
        <w:rPr>
          <w:bCs/>
          <w:szCs w:val="24"/>
        </w:rPr>
      </w:pPr>
      <w:proofErr w:type="gramStart"/>
      <w:r w:rsidRPr="00590FB7">
        <w:rPr>
          <w:bCs/>
          <w:szCs w:val="24"/>
        </w:rPr>
        <w:t>Penelitian ini menggunakan pendekatan kuantitatif asosiatif yang bertujuan untuk mengeksplorasi peran employee engagement sebagai mediator pada hubungan antara employer branding dan turnover intention di XYZ Headhunter.</w:t>
      </w:r>
      <w:proofErr w:type="gramEnd"/>
      <w:r w:rsidRPr="00590FB7">
        <w:rPr>
          <w:bCs/>
          <w:szCs w:val="24"/>
        </w:rPr>
        <w:t xml:space="preserve"> </w:t>
      </w:r>
      <w:proofErr w:type="gramStart"/>
      <w:r w:rsidRPr="00590FB7">
        <w:rPr>
          <w:bCs/>
          <w:szCs w:val="24"/>
        </w:rPr>
        <w:t xml:space="preserve">Metode survei dengan </w:t>
      </w:r>
      <w:r w:rsidRPr="00590FB7">
        <w:rPr>
          <w:bCs/>
          <w:szCs w:val="24"/>
        </w:rPr>
        <w:lastRenderedPageBreak/>
        <w:t>pengumpulan data menggunakan kuesioner digunakan untuk mengumpulkan data dari karyawan di XYZ Headhunter (Sugiyono, 2019).</w:t>
      </w:r>
      <w:proofErr w:type="gramEnd"/>
      <w:r w:rsidRPr="00590FB7">
        <w:rPr>
          <w:bCs/>
          <w:szCs w:val="24"/>
        </w:rPr>
        <w:t xml:space="preserve"> </w:t>
      </w:r>
    </w:p>
    <w:p w14:paraId="53EE165B" w14:textId="77777777" w:rsidR="00590FB7" w:rsidRPr="00637E37" w:rsidRDefault="00590FB7" w:rsidP="00637E37">
      <w:pPr>
        <w:spacing w:after="0" w:line="276" w:lineRule="auto"/>
        <w:ind w:firstLine="0"/>
        <w:rPr>
          <w:b/>
          <w:bCs/>
          <w:szCs w:val="24"/>
        </w:rPr>
      </w:pPr>
      <w:r w:rsidRPr="00637E37">
        <w:rPr>
          <w:b/>
          <w:bCs/>
          <w:szCs w:val="24"/>
        </w:rPr>
        <w:t>Metode Analisis</w:t>
      </w:r>
    </w:p>
    <w:p w14:paraId="6FDC7C2B" w14:textId="77777777" w:rsidR="00590FB7" w:rsidRPr="00590FB7" w:rsidRDefault="00590FB7" w:rsidP="00590FB7">
      <w:pPr>
        <w:spacing w:after="0" w:line="276" w:lineRule="auto"/>
        <w:rPr>
          <w:bCs/>
          <w:szCs w:val="24"/>
        </w:rPr>
      </w:pPr>
      <w:proofErr w:type="gramStart"/>
      <w:r w:rsidRPr="00590FB7">
        <w:rPr>
          <w:bCs/>
          <w:szCs w:val="24"/>
        </w:rPr>
        <w:t>Uji instrumen yang digunakan dalam penelitian ini meliputi uji validitas dan reliabilitas.</w:t>
      </w:r>
      <w:proofErr w:type="gramEnd"/>
      <w:r w:rsidRPr="00590FB7">
        <w:rPr>
          <w:bCs/>
          <w:szCs w:val="24"/>
        </w:rPr>
        <w:t xml:space="preserve"> Uji validitas instrumen penelitian ini dilakukan dengan menggunakan Pearson Correlation pada program SPSS Statistic versi 29 dengan ketentuan bahwa hasil dari perhitungan seluruh butir pertanyaan (rhitung) pada variabel X, Z, dan Y lebih besar dari rtabel yaitu &gt; 0,296. </w:t>
      </w:r>
      <w:proofErr w:type="gramStart"/>
      <w:r w:rsidRPr="00590FB7">
        <w:rPr>
          <w:bCs/>
          <w:szCs w:val="24"/>
        </w:rPr>
        <w:t>Uji reliabilitas dalam penelitian ini menggunakan pengolahan data yang dilakukan dengan bantuan program SPSS Statistic versi 29 menggunakan teknik metode Cronbach’s Alpha dengan koefisien reliabilitas atau α yang diperoleh ≥ 0,600.</w:t>
      </w:r>
      <w:proofErr w:type="gramEnd"/>
      <w:r w:rsidRPr="00590FB7">
        <w:rPr>
          <w:bCs/>
          <w:szCs w:val="24"/>
        </w:rPr>
        <w:t xml:space="preserve"> </w:t>
      </w:r>
    </w:p>
    <w:p w14:paraId="78947906" w14:textId="77777777" w:rsidR="00590FB7" w:rsidRPr="00590FB7" w:rsidRDefault="00590FB7" w:rsidP="00590FB7">
      <w:pPr>
        <w:spacing w:after="0" w:line="276" w:lineRule="auto"/>
        <w:rPr>
          <w:bCs/>
          <w:szCs w:val="24"/>
        </w:rPr>
      </w:pPr>
      <w:proofErr w:type="gramStart"/>
      <w:r w:rsidRPr="00590FB7">
        <w:rPr>
          <w:bCs/>
          <w:szCs w:val="24"/>
        </w:rPr>
        <w:t>Analisis jalur atau Path Analysis digunakan untuk menganalisis pola hubungan antar variabel (Riduwan dan Kuncoro, 2017:97).</w:t>
      </w:r>
      <w:proofErr w:type="gramEnd"/>
      <w:r w:rsidRPr="00590FB7">
        <w:rPr>
          <w:bCs/>
          <w:szCs w:val="24"/>
        </w:rPr>
        <w:t xml:space="preserve"> </w:t>
      </w:r>
      <w:proofErr w:type="gramStart"/>
      <w:r w:rsidRPr="00590FB7">
        <w:rPr>
          <w:bCs/>
          <w:szCs w:val="24"/>
        </w:rPr>
        <w:t>Dalam analisis jalur path, pengujian hipotesis dilakukan dengan menguji signifikansi koefisien jalur menggunakan uji t-statistik.</w:t>
      </w:r>
      <w:proofErr w:type="gramEnd"/>
      <w:r w:rsidRPr="00590FB7">
        <w:rPr>
          <w:bCs/>
          <w:szCs w:val="24"/>
        </w:rPr>
        <w:t xml:space="preserve"> </w:t>
      </w:r>
      <w:proofErr w:type="gramStart"/>
      <w:r w:rsidRPr="00590FB7">
        <w:rPr>
          <w:bCs/>
          <w:szCs w:val="24"/>
        </w:rPr>
        <w:t>Jika nilai p-value kurang dari alpha (0.05), maka koefisien jalur dianggap signifikan dan hipotesis diterima.</w:t>
      </w:r>
      <w:proofErr w:type="gramEnd"/>
    </w:p>
    <w:p w14:paraId="7D72B1B1" w14:textId="72F3E1AC" w:rsidR="004C1F75" w:rsidRDefault="00590FB7" w:rsidP="00590FB7">
      <w:pPr>
        <w:spacing w:after="0" w:line="276" w:lineRule="auto"/>
        <w:rPr>
          <w:bCs/>
          <w:szCs w:val="24"/>
        </w:rPr>
      </w:pPr>
      <w:proofErr w:type="gramStart"/>
      <w:r w:rsidRPr="00590FB7">
        <w:rPr>
          <w:bCs/>
          <w:szCs w:val="24"/>
        </w:rPr>
        <w:t>Dalam uji hipotesis, uji T digunakan untuk menguji pengaruh antar variabel dan uji sobel untuk menguji signifikansi variabel mediasi (Z).</w:t>
      </w:r>
      <w:proofErr w:type="gramEnd"/>
      <w:r w:rsidRPr="00590FB7">
        <w:rPr>
          <w:bCs/>
          <w:szCs w:val="24"/>
        </w:rPr>
        <w:t xml:space="preserve"> </w:t>
      </w:r>
      <w:proofErr w:type="gramStart"/>
      <w:r w:rsidRPr="00590FB7">
        <w:rPr>
          <w:bCs/>
          <w:szCs w:val="24"/>
        </w:rPr>
        <w:t>Untuk mengujian hipotesis pada penelitian ini menggunakan nilai statistik dengan bantuan SPSS versi 29 dan nilai ttabel yang digunakan adalah 1,695.</w:t>
      </w:r>
      <w:proofErr w:type="gramEnd"/>
      <w:r w:rsidRPr="00590FB7">
        <w:rPr>
          <w:bCs/>
          <w:szCs w:val="24"/>
        </w:rPr>
        <w:t xml:space="preserve"> </w:t>
      </w:r>
      <w:proofErr w:type="gramStart"/>
      <w:r w:rsidRPr="00590FB7">
        <w:rPr>
          <w:bCs/>
          <w:szCs w:val="24"/>
        </w:rPr>
        <w:t>Maka kriteria penerimaan atau penolakan hipotesis adalah Ha diterima jika thitung &lt; 1,695.</w:t>
      </w:r>
      <w:proofErr w:type="gramEnd"/>
    </w:p>
    <w:p w14:paraId="1125857D" w14:textId="77777777" w:rsidR="00590FB7" w:rsidRPr="00687114" w:rsidRDefault="00590FB7" w:rsidP="00590FB7">
      <w:pPr>
        <w:spacing w:after="0" w:line="276" w:lineRule="auto"/>
        <w:rPr>
          <w:lang w:val="en-ID"/>
        </w:rPr>
      </w:pPr>
    </w:p>
    <w:p w14:paraId="27AD3822" w14:textId="7E7500CE" w:rsidR="00BD7577" w:rsidRPr="00687114" w:rsidRDefault="00590FB7" w:rsidP="008C647E">
      <w:pPr>
        <w:pStyle w:val="Heading1"/>
        <w:ind w:left="-5" w:right="432"/>
        <w:jc w:val="both"/>
        <w:rPr>
          <w:lang w:val="en-ID"/>
        </w:rPr>
      </w:pPr>
      <w:r>
        <w:rPr>
          <w:lang w:val="en-ID"/>
        </w:rPr>
        <w:t>HASIL DAN PEMBAHASAN</w:t>
      </w:r>
    </w:p>
    <w:p w14:paraId="224D3BAC" w14:textId="77777777" w:rsidR="00590FB7" w:rsidRDefault="00590FB7" w:rsidP="00F52F24">
      <w:pPr>
        <w:spacing w:after="0" w:line="276" w:lineRule="auto"/>
        <w:ind w:firstLine="567"/>
        <w:rPr>
          <w:color w:val="auto"/>
        </w:rPr>
      </w:pPr>
      <w:proofErr w:type="gramStart"/>
      <w:r w:rsidRPr="0062790E">
        <w:rPr>
          <w:color w:val="auto"/>
        </w:rPr>
        <w:t>Tabel 1 data responden didominasi karyawan yang menjawab Perempuan.</w:t>
      </w:r>
      <w:proofErr w:type="gramEnd"/>
      <w:r w:rsidRPr="0062790E">
        <w:rPr>
          <w:color w:val="auto"/>
        </w:rPr>
        <w:t xml:space="preserve"> Sebagian besar golongan </w:t>
      </w:r>
      <w:proofErr w:type="gramStart"/>
      <w:r w:rsidRPr="0062790E">
        <w:rPr>
          <w:color w:val="auto"/>
        </w:rPr>
        <w:t>usia</w:t>
      </w:r>
      <w:proofErr w:type="gramEnd"/>
      <w:r w:rsidRPr="0062790E">
        <w:rPr>
          <w:color w:val="auto"/>
        </w:rPr>
        <w:t xml:space="preserve"> 21-25 tahun di mana 31 orang berpendidikan S1 dan 1 orang berpendidikan S2. </w:t>
      </w:r>
    </w:p>
    <w:p w14:paraId="07F6FDB8" w14:textId="77777777" w:rsidR="00590FB7" w:rsidRPr="0062790E" w:rsidRDefault="00590FB7" w:rsidP="00F52F24">
      <w:pPr>
        <w:spacing w:after="0" w:line="276" w:lineRule="auto"/>
        <w:ind w:firstLine="567"/>
        <w:rPr>
          <w:color w:val="auto"/>
        </w:rPr>
      </w:pPr>
    </w:p>
    <w:p w14:paraId="29703338" w14:textId="77777777" w:rsidR="00590FB7" w:rsidRPr="0062790E" w:rsidRDefault="00590FB7" w:rsidP="00F52F24">
      <w:pPr>
        <w:spacing w:before="120" w:after="0" w:line="276" w:lineRule="auto"/>
        <w:jc w:val="center"/>
        <w:rPr>
          <w:b/>
          <w:bCs/>
          <w:color w:val="auto"/>
        </w:rPr>
      </w:pPr>
      <w:proofErr w:type="gramStart"/>
      <w:r w:rsidRPr="0062790E">
        <w:rPr>
          <w:b/>
          <w:bCs/>
          <w:color w:val="auto"/>
        </w:rPr>
        <w:t>Tabel 1</w:t>
      </w:r>
      <w:r>
        <w:rPr>
          <w:b/>
          <w:bCs/>
          <w:color w:val="auto"/>
        </w:rPr>
        <w:t>.</w:t>
      </w:r>
      <w:proofErr w:type="gramEnd"/>
    </w:p>
    <w:p w14:paraId="5069A7BC" w14:textId="77777777" w:rsidR="00590FB7" w:rsidRPr="0062790E" w:rsidRDefault="00590FB7" w:rsidP="00590FB7">
      <w:pPr>
        <w:spacing w:after="120" w:line="276" w:lineRule="auto"/>
        <w:jc w:val="center"/>
        <w:rPr>
          <w:b/>
          <w:bCs/>
          <w:color w:val="auto"/>
        </w:rPr>
      </w:pPr>
      <w:r w:rsidRPr="0062790E">
        <w:rPr>
          <w:b/>
          <w:bCs/>
          <w:color w:val="auto"/>
        </w:rPr>
        <w:t>Data Responden</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90FB7" w:rsidRPr="0062790E" w14:paraId="4FAB03BB" w14:textId="77777777" w:rsidTr="00F52F24">
        <w:tc>
          <w:tcPr>
            <w:tcW w:w="3005" w:type="dxa"/>
            <w:tcBorders>
              <w:bottom w:val="single" w:sz="4" w:space="0" w:color="auto"/>
            </w:tcBorders>
            <w:shd w:val="clear" w:color="auto" w:fill="FFFFFF" w:themeFill="background1"/>
          </w:tcPr>
          <w:p w14:paraId="71A44D70" w14:textId="77777777" w:rsidR="00590FB7" w:rsidRPr="0062790E" w:rsidRDefault="00590FB7" w:rsidP="00F52F24">
            <w:pPr>
              <w:spacing w:before="120" w:after="120" w:line="276" w:lineRule="auto"/>
              <w:jc w:val="center"/>
              <w:rPr>
                <w:color w:val="222222"/>
              </w:rPr>
            </w:pPr>
            <w:r w:rsidRPr="0062790E">
              <w:rPr>
                <w:color w:val="222222"/>
              </w:rPr>
              <w:t>Kriteria</w:t>
            </w:r>
          </w:p>
        </w:tc>
        <w:tc>
          <w:tcPr>
            <w:tcW w:w="3005" w:type="dxa"/>
            <w:tcBorders>
              <w:bottom w:val="single" w:sz="4" w:space="0" w:color="auto"/>
            </w:tcBorders>
            <w:shd w:val="clear" w:color="auto" w:fill="FFFFFF" w:themeFill="background1"/>
          </w:tcPr>
          <w:p w14:paraId="473BC556" w14:textId="77777777" w:rsidR="00590FB7" w:rsidRPr="0062790E" w:rsidRDefault="00590FB7" w:rsidP="00F52F24">
            <w:pPr>
              <w:spacing w:before="120" w:after="120" w:line="276" w:lineRule="auto"/>
              <w:ind w:hanging="34"/>
              <w:jc w:val="center"/>
              <w:rPr>
                <w:color w:val="222222"/>
              </w:rPr>
            </w:pPr>
            <w:r w:rsidRPr="0062790E">
              <w:rPr>
                <w:color w:val="222222"/>
              </w:rPr>
              <w:t>Jumlah</w:t>
            </w:r>
          </w:p>
        </w:tc>
        <w:tc>
          <w:tcPr>
            <w:tcW w:w="3006" w:type="dxa"/>
            <w:tcBorders>
              <w:bottom w:val="single" w:sz="4" w:space="0" w:color="auto"/>
            </w:tcBorders>
            <w:shd w:val="clear" w:color="auto" w:fill="FFFFFF" w:themeFill="background1"/>
          </w:tcPr>
          <w:p w14:paraId="5B0E53A0" w14:textId="77777777" w:rsidR="00590FB7" w:rsidRPr="0062790E" w:rsidRDefault="00590FB7" w:rsidP="00F52F24">
            <w:pPr>
              <w:spacing w:before="120" w:after="120" w:line="276" w:lineRule="auto"/>
              <w:jc w:val="center"/>
              <w:rPr>
                <w:color w:val="222222"/>
              </w:rPr>
            </w:pPr>
            <w:r w:rsidRPr="0062790E">
              <w:rPr>
                <w:color w:val="222222"/>
              </w:rPr>
              <w:t>Persentase (%)</w:t>
            </w:r>
          </w:p>
        </w:tc>
      </w:tr>
      <w:tr w:rsidR="00590FB7" w:rsidRPr="0062790E" w14:paraId="5AC0141A" w14:textId="77777777" w:rsidTr="00F52F24">
        <w:tc>
          <w:tcPr>
            <w:tcW w:w="3005" w:type="dxa"/>
            <w:tcBorders>
              <w:top w:val="single" w:sz="4" w:space="0" w:color="auto"/>
              <w:bottom w:val="single" w:sz="4" w:space="0" w:color="auto"/>
            </w:tcBorders>
          </w:tcPr>
          <w:p w14:paraId="6EBAF845" w14:textId="77777777" w:rsidR="00590FB7" w:rsidRPr="0062790E" w:rsidRDefault="00590FB7" w:rsidP="00F52F24">
            <w:pPr>
              <w:spacing w:line="276" w:lineRule="auto"/>
              <w:ind w:firstLine="0"/>
              <w:rPr>
                <w:color w:val="222222"/>
              </w:rPr>
            </w:pPr>
            <w:r w:rsidRPr="0062790E">
              <w:rPr>
                <w:color w:val="222222"/>
              </w:rPr>
              <w:t>Jenis Kelamin</w:t>
            </w:r>
          </w:p>
          <w:p w14:paraId="15D35905" w14:textId="77777777" w:rsidR="00590FB7" w:rsidRPr="0062790E" w:rsidRDefault="00590FB7" w:rsidP="00590FB7">
            <w:pPr>
              <w:widowControl w:val="0"/>
              <w:numPr>
                <w:ilvl w:val="0"/>
                <w:numId w:val="30"/>
              </w:numPr>
              <w:spacing w:after="0" w:line="276" w:lineRule="auto"/>
              <w:ind w:left="27" w:right="0" w:firstLine="0"/>
              <w:rPr>
                <w:color w:val="222222"/>
              </w:rPr>
            </w:pPr>
            <w:r w:rsidRPr="0062790E">
              <w:rPr>
                <w:color w:val="222222"/>
              </w:rPr>
              <w:t>Laki-laki</w:t>
            </w:r>
          </w:p>
          <w:p w14:paraId="680AC225" w14:textId="77777777" w:rsidR="00590FB7" w:rsidRPr="0062790E" w:rsidRDefault="00590FB7" w:rsidP="00590FB7">
            <w:pPr>
              <w:widowControl w:val="0"/>
              <w:numPr>
                <w:ilvl w:val="0"/>
                <w:numId w:val="30"/>
              </w:numPr>
              <w:spacing w:after="0" w:line="276" w:lineRule="auto"/>
              <w:ind w:left="27" w:right="0" w:firstLine="0"/>
              <w:rPr>
                <w:color w:val="222222"/>
              </w:rPr>
            </w:pPr>
            <w:r w:rsidRPr="0062790E">
              <w:rPr>
                <w:color w:val="222222"/>
              </w:rPr>
              <w:t>Perempuan</w:t>
            </w:r>
          </w:p>
        </w:tc>
        <w:tc>
          <w:tcPr>
            <w:tcW w:w="3005" w:type="dxa"/>
            <w:tcBorders>
              <w:top w:val="single" w:sz="4" w:space="0" w:color="auto"/>
              <w:bottom w:val="single" w:sz="4" w:space="0" w:color="auto"/>
            </w:tcBorders>
          </w:tcPr>
          <w:p w14:paraId="7FC70185" w14:textId="77777777" w:rsidR="00590FB7" w:rsidRPr="0062790E" w:rsidRDefault="00590FB7" w:rsidP="00F52F24">
            <w:pPr>
              <w:spacing w:line="276" w:lineRule="auto"/>
              <w:ind w:hanging="34"/>
              <w:jc w:val="center"/>
              <w:rPr>
                <w:color w:val="222222"/>
              </w:rPr>
            </w:pPr>
          </w:p>
          <w:p w14:paraId="109243BB" w14:textId="77777777" w:rsidR="00590FB7" w:rsidRPr="0062790E" w:rsidRDefault="00590FB7" w:rsidP="00F52F24">
            <w:pPr>
              <w:spacing w:line="276" w:lineRule="auto"/>
              <w:ind w:hanging="34"/>
              <w:jc w:val="center"/>
              <w:rPr>
                <w:color w:val="222222"/>
              </w:rPr>
            </w:pPr>
            <w:r w:rsidRPr="0062790E">
              <w:rPr>
                <w:color w:val="222222"/>
              </w:rPr>
              <w:t>9</w:t>
            </w:r>
          </w:p>
          <w:p w14:paraId="563D0C83" w14:textId="77777777" w:rsidR="00590FB7" w:rsidRPr="0062790E" w:rsidRDefault="00590FB7" w:rsidP="00F52F24">
            <w:pPr>
              <w:spacing w:line="276" w:lineRule="auto"/>
              <w:ind w:hanging="34"/>
              <w:jc w:val="center"/>
              <w:rPr>
                <w:color w:val="222222"/>
              </w:rPr>
            </w:pPr>
            <w:r w:rsidRPr="0062790E">
              <w:rPr>
                <w:color w:val="222222"/>
              </w:rPr>
              <w:t>23</w:t>
            </w:r>
          </w:p>
        </w:tc>
        <w:tc>
          <w:tcPr>
            <w:tcW w:w="3006" w:type="dxa"/>
            <w:tcBorders>
              <w:top w:val="single" w:sz="4" w:space="0" w:color="auto"/>
              <w:bottom w:val="single" w:sz="4" w:space="0" w:color="auto"/>
            </w:tcBorders>
          </w:tcPr>
          <w:p w14:paraId="7F15E48A" w14:textId="77777777" w:rsidR="00590FB7" w:rsidRPr="0062790E" w:rsidRDefault="00590FB7" w:rsidP="00F52F24">
            <w:pPr>
              <w:spacing w:line="276" w:lineRule="auto"/>
              <w:jc w:val="center"/>
              <w:rPr>
                <w:color w:val="222222"/>
              </w:rPr>
            </w:pPr>
          </w:p>
          <w:p w14:paraId="05ED7201" w14:textId="77777777" w:rsidR="00590FB7" w:rsidRPr="0062790E" w:rsidRDefault="00590FB7" w:rsidP="00F52F24">
            <w:pPr>
              <w:spacing w:line="276" w:lineRule="auto"/>
              <w:jc w:val="center"/>
              <w:rPr>
                <w:color w:val="222222"/>
              </w:rPr>
            </w:pPr>
            <w:r w:rsidRPr="0062790E">
              <w:rPr>
                <w:color w:val="222222"/>
              </w:rPr>
              <w:t>28</w:t>
            </w:r>
          </w:p>
          <w:p w14:paraId="013B4B30" w14:textId="77777777" w:rsidR="00590FB7" w:rsidRPr="0062790E" w:rsidRDefault="00590FB7" w:rsidP="00F52F24">
            <w:pPr>
              <w:spacing w:line="276" w:lineRule="auto"/>
              <w:jc w:val="center"/>
              <w:rPr>
                <w:color w:val="222222"/>
              </w:rPr>
            </w:pPr>
            <w:r w:rsidRPr="0062790E">
              <w:rPr>
                <w:color w:val="222222"/>
              </w:rPr>
              <w:t>72</w:t>
            </w:r>
          </w:p>
        </w:tc>
      </w:tr>
      <w:tr w:rsidR="00590FB7" w:rsidRPr="0062790E" w14:paraId="50AEFE88" w14:textId="77777777" w:rsidTr="00F52F24">
        <w:tc>
          <w:tcPr>
            <w:tcW w:w="3005" w:type="dxa"/>
            <w:tcBorders>
              <w:top w:val="single" w:sz="4" w:space="0" w:color="auto"/>
              <w:bottom w:val="single" w:sz="4" w:space="0" w:color="auto"/>
            </w:tcBorders>
          </w:tcPr>
          <w:p w14:paraId="15D014F9" w14:textId="77777777" w:rsidR="00590FB7" w:rsidRPr="0062790E" w:rsidRDefault="00590FB7" w:rsidP="00F52F24">
            <w:pPr>
              <w:spacing w:line="276" w:lineRule="auto"/>
              <w:ind w:firstLine="0"/>
              <w:rPr>
                <w:color w:val="222222"/>
              </w:rPr>
            </w:pPr>
            <w:r w:rsidRPr="0062790E">
              <w:rPr>
                <w:color w:val="222222"/>
              </w:rPr>
              <w:t>Usia</w:t>
            </w:r>
          </w:p>
          <w:p w14:paraId="6AC14622" w14:textId="77777777" w:rsidR="00590FB7" w:rsidRPr="0062790E" w:rsidRDefault="00590FB7" w:rsidP="00590FB7">
            <w:pPr>
              <w:widowControl w:val="0"/>
              <w:numPr>
                <w:ilvl w:val="0"/>
                <w:numId w:val="30"/>
              </w:numPr>
              <w:spacing w:after="0" w:line="276" w:lineRule="auto"/>
              <w:ind w:left="27" w:right="0" w:firstLine="0"/>
              <w:rPr>
                <w:color w:val="222222"/>
              </w:rPr>
            </w:pPr>
            <w:r w:rsidRPr="0062790E">
              <w:rPr>
                <w:color w:val="222222"/>
              </w:rPr>
              <w:t>21-25 tahun</w:t>
            </w:r>
          </w:p>
          <w:p w14:paraId="13AC709A" w14:textId="77777777" w:rsidR="00590FB7" w:rsidRPr="0062790E" w:rsidRDefault="00590FB7" w:rsidP="00590FB7">
            <w:pPr>
              <w:widowControl w:val="0"/>
              <w:numPr>
                <w:ilvl w:val="0"/>
                <w:numId w:val="30"/>
              </w:numPr>
              <w:spacing w:after="0" w:line="276" w:lineRule="auto"/>
              <w:ind w:left="27" w:right="0" w:firstLine="0"/>
              <w:rPr>
                <w:color w:val="222222"/>
              </w:rPr>
            </w:pPr>
            <w:r w:rsidRPr="0062790E">
              <w:rPr>
                <w:color w:val="222222"/>
              </w:rPr>
              <w:t>26-30 tahun</w:t>
            </w:r>
          </w:p>
        </w:tc>
        <w:tc>
          <w:tcPr>
            <w:tcW w:w="3005" w:type="dxa"/>
            <w:tcBorders>
              <w:top w:val="single" w:sz="4" w:space="0" w:color="auto"/>
              <w:bottom w:val="single" w:sz="4" w:space="0" w:color="auto"/>
            </w:tcBorders>
          </w:tcPr>
          <w:p w14:paraId="59688D26" w14:textId="77777777" w:rsidR="00590FB7" w:rsidRPr="0062790E" w:rsidRDefault="00590FB7" w:rsidP="00F52F24">
            <w:pPr>
              <w:spacing w:line="276" w:lineRule="auto"/>
              <w:ind w:hanging="34"/>
              <w:jc w:val="center"/>
              <w:rPr>
                <w:color w:val="222222"/>
              </w:rPr>
            </w:pPr>
          </w:p>
          <w:p w14:paraId="1AFBD668" w14:textId="77777777" w:rsidR="00590FB7" w:rsidRPr="0062790E" w:rsidRDefault="00590FB7" w:rsidP="00F52F24">
            <w:pPr>
              <w:spacing w:line="276" w:lineRule="auto"/>
              <w:ind w:hanging="34"/>
              <w:jc w:val="center"/>
              <w:rPr>
                <w:color w:val="222222"/>
              </w:rPr>
            </w:pPr>
            <w:r w:rsidRPr="0062790E">
              <w:rPr>
                <w:color w:val="222222"/>
              </w:rPr>
              <w:t>31</w:t>
            </w:r>
          </w:p>
          <w:p w14:paraId="4A5D00F6" w14:textId="77777777" w:rsidR="00590FB7" w:rsidRPr="0062790E" w:rsidRDefault="00590FB7" w:rsidP="00F52F24">
            <w:pPr>
              <w:spacing w:line="276" w:lineRule="auto"/>
              <w:ind w:hanging="34"/>
              <w:jc w:val="center"/>
              <w:rPr>
                <w:color w:val="222222"/>
              </w:rPr>
            </w:pPr>
            <w:r w:rsidRPr="0062790E">
              <w:rPr>
                <w:color w:val="222222"/>
              </w:rPr>
              <w:t>1</w:t>
            </w:r>
          </w:p>
        </w:tc>
        <w:tc>
          <w:tcPr>
            <w:tcW w:w="3006" w:type="dxa"/>
            <w:tcBorders>
              <w:top w:val="single" w:sz="4" w:space="0" w:color="auto"/>
              <w:bottom w:val="single" w:sz="4" w:space="0" w:color="auto"/>
            </w:tcBorders>
          </w:tcPr>
          <w:p w14:paraId="6CFACB82" w14:textId="77777777" w:rsidR="00590FB7" w:rsidRPr="0062790E" w:rsidRDefault="00590FB7" w:rsidP="00F52F24">
            <w:pPr>
              <w:spacing w:line="276" w:lineRule="auto"/>
              <w:jc w:val="center"/>
              <w:rPr>
                <w:color w:val="222222"/>
              </w:rPr>
            </w:pPr>
          </w:p>
          <w:p w14:paraId="6C5E3AE0" w14:textId="77777777" w:rsidR="00590FB7" w:rsidRPr="0062790E" w:rsidRDefault="00590FB7" w:rsidP="00F52F24">
            <w:pPr>
              <w:spacing w:line="276" w:lineRule="auto"/>
              <w:jc w:val="center"/>
              <w:rPr>
                <w:color w:val="222222"/>
              </w:rPr>
            </w:pPr>
            <w:r w:rsidRPr="0062790E">
              <w:rPr>
                <w:color w:val="222222"/>
              </w:rPr>
              <w:t>97</w:t>
            </w:r>
          </w:p>
          <w:p w14:paraId="76059EEE" w14:textId="77777777" w:rsidR="00590FB7" w:rsidRPr="0062790E" w:rsidRDefault="00590FB7" w:rsidP="00F52F24">
            <w:pPr>
              <w:spacing w:line="276" w:lineRule="auto"/>
              <w:jc w:val="center"/>
              <w:rPr>
                <w:color w:val="222222"/>
              </w:rPr>
            </w:pPr>
            <w:r w:rsidRPr="0062790E">
              <w:rPr>
                <w:color w:val="222222"/>
              </w:rPr>
              <w:t>3</w:t>
            </w:r>
          </w:p>
        </w:tc>
      </w:tr>
      <w:tr w:rsidR="00590FB7" w:rsidRPr="0062790E" w14:paraId="1C98E7B6" w14:textId="77777777" w:rsidTr="00F52F24">
        <w:tc>
          <w:tcPr>
            <w:tcW w:w="3005" w:type="dxa"/>
            <w:tcBorders>
              <w:top w:val="single" w:sz="4" w:space="0" w:color="auto"/>
            </w:tcBorders>
          </w:tcPr>
          <w:p w14:paraId="64677ACD" w14:textId="77777777" w:rsidR="00590FB7" w:rsidRPr="0062790E" w:rsidRDefault="00590FB7" w:rsidP="00F52F24">
            <w:pPr>
              <w:spacing w:line="276" w:lineRule="auto"/>
              <w:ind w:firstLine="0"/>
              <w:rPr>
                <w:color w:val="222222"/>
              </w:rPr>
            </w:pPr>
            <w:r w:rsidRPr="0062790E">
              <w:rPr>
                <w:color w:val="222222"/>
              </w:rPr>
              <w:t>Pendidikan</w:t>
            </w:r>
          </w:p>
          <w:p w14:paraId="70DEEAAE" w14:textId="77777777" w:rsidR="00590FB7" w:rsidRPr="0062790E" w:rsidRDefault="00590FB7" w:rsidP="00590FB7">
            <w:pPr>
              <w:widowControl w:val="0"/>
              <w:numPr>
                <w:ilvl w:val="0"/>
                <w:numId w:val="30"/>
              </w:numPr>
              <w:spacing w:after="0" w:line="276" w:lineRule="auto"/>
              <w:ind w:left="0" w:right="0" w:firstLine="0"/>
              <w:rPr>
                <w:color w:val="222222"/>
              </w:rPr>
            </w:pPr>
            <w:r w:rsidRPr="0062790E">
              <w:rPr>
                <w:color w:val="222222"/>
              </w:rPr>
              <w:t>S1</w:t>
            </w:r>
          </w:p>
          <w:p w14:paraId="32DDF7BE" w14:textId="77777777" w:rsidR="00590FB7" w:rsidRPr="0062790E" w:rsidRDefault="00590FB7" w:rsidP="00590FB7">
            <w:pPr>
              <w:widowControl w:val="0"/>
              <w:numPr>
                <w:ilvl w:val="0"/>
                <w:numId w:val="30"/>
              </w:numPr>
              <w:spacing w:after="0" w:line="276" w:lineRule="auto"/>
              <w:ind w:left="0" w:right="0" w:firstLine="0"/>
              <w:rPr>
                <w:color w:val="222222"/>
              </w:rPr>
            </w:pPr>
            <w:r w:rsidRPr="0062790E">
              <w:rPr>
                <w:color w:val="222222"/>
              </w:rPr>
              <w:t>S2</w:t>
            </w:r>
          </w:p>
        </w:tc>
        <w:tc>
          <w:tcPr>
            <w:tcW w:w="3005" w:type="dxa"/>
            <w:tcBorders>
              <w:top w:val="single" w:sz="4" w:space="0" w:color="auto"/>
            </w:tcBorders>
          </w:tcPr>
          <w:p w14:paraId="08760879" w14:textId="77777777" w:rsidR="00590FB7" w:rsidRPr="0062790E" w:rsidRDefault="00590FB7" w:rsidP="00F52F24">
            <w:pPr>
              <w:spacing w:line="276" w:lineRule="auto"/>
              <w:ind w:hanging="34"/>
              <w:jc w:val="center"/>
              <w:rPr>
                <w:color w:val="222222"/>
              </w:rPr>
            </w:pPr>
          </w:p>
          <w:p w14:paraId="332FB245" w14:textId="77777777" w:rsidR="00590FB7" w:rsidRPr="0062790E" w:rsidRDefault="00590FB7" w:rsidP="00F52F24">
            <w:pPr>
              <w:spacing w:line="276" w:lineRule="auto"/>
              <w:ind w:hanging="34"/>
              <w:jc w:val="center"/>
              <w:rPr>
                <w:color w:val="222222"/>
              </w:rPr>
            </w:pPr>
            <w:r w:rsidRPr="0062790E">
              <w:rPr>
                <w:color w:val="222222"/>
              </w:rPr>
              <w:t>31</w:t>
            </w:r>
          </w:p>
          <w:p w14:paraId="47D6D044" w14:textId="77777777" w:rsidR="00590FB7" w:rsidRPr="0062790E" w:rsidRDefault="00590FB7" w:rsidP="00F52F24">
            <w:pPr>
              <w:spacing w:line="276" w:lineRule="auto"/>
              <w:ind w:hanging="34"/>
              <w:jc w:val="center"/>
              <w:rPr>
                <w:color w:val="222222"/>
              </w:rPr>
            </w:pPr>
            <w:r w:rsidRPr="0062790E">
              <w:rPr>
                <w:color w:val="222222"/>
              </w:rPr>
              <w:t>1</w:t>
            </w:r>
          </w:p>
        </w:tc>
        <w:tc>
          <w:tcPr>
            <w:tcW w:w="3006" w:type="dxa"/>
            <w:tcBorders>
              <w:top w:val="single" w:sz="4" w:space="0" w:color="auto"/>
            </w:tcBorders>
          </w:tcPr>
          <w:p w14:paraId="17009A52" w14:textId="77777777" w:rsidR="00590FB7" w:rsidRPr="0062790E" w:rsidRDefault="00590FB7" w:rsidP="00F52F24">
            <w:pPr>
              <w:spacing w:line="276" w:lineRule="auto"/>
              <w:jc w:val="center"/>
              <w:rPr>
                <w:color w:val="222222"/>
              </w:rPr>
            </w:pPr>
          </w:p>
          <w:p w14:paraId="0D2CF88F" w14:textId="77777777" w:rsidR="00590FB7" w:rsidRPr="0062790E" w:rsidRDefault="00590FB7" w:rsidP="00F52F24">
            <w:pPr>
              <w:spacing w:line="276" w:lineRule="auto"/>
              <w:jc w:val="center"/>
              <w:rPr>
                <w:color w:val="222222"/>
              </w:rPr>
            </w:pPr>
            <w:r w:rsidRPr="0062790E">
              <w:rPr>
                <w:color w:val="222222"/>
              </w:rPr>
              <w:t>97</w:t>
            </w:r>
          </w:p>
          <w:p w14:paraId="11484557" w14:textId="77777777" w:rsidR="00590FB7" w:rsidRPr="0062790E" w:rsidRDefault="00590FB7" w:rsidP="00F52F24">
            <w:pPr>
              <w:spacing w:line="276" w:lineRule="auto"/>
              <w:jc w:val="center"/>
              <w:rPr>
                <w:color w:val="222222"/>
              </w:rPr>
            </w:pPr>
            <w:r w:rsidRPr="0062790E">
              <w:rPr>
                <w:color w:val="222222"/>
              </w:rPr>
              <w:t>3</w:t>
            </w:r>
          </w:p>
        </w:tc>
      </w:tr>
    </w:tbl>
    <w:p w14:paraId="78C38D40" w14:textId="056BCF5C" w:rsidR="00961C04" w:rsidRPr="00590FB7" w:rsidRDefault="00590FB7" w:rsidP="00590FB7">
      <w:pPr>
        <w:spacing w:before="120" w:after="120" w:line="276" w:lineRule="auto"/>
        <w:ind w:firstLine="0"/>
        <w:rPr>
          <w:i/>
          <w:iCs/>
          <w:color w:val="auto"/>
        </w:rPr>
      </w:pPr>
      <w:r w:rsidRPr="00037638">
        <w:rPr>
          <w:i/>
          <w:iCs/>
          <w:color w:val="auto"/>
        </w:rPr>
        <w:t>Sumber: Hasil Pengolahan SPSS, 2023</w:t>
      </w:r>
    </w:p>
    <w:p w14:paraId="06188E1D" w14:textId="77777777" w:rsidR="00590FB7" w:rsidRPr="00037638" w:rsidRDefault="00590FB7" w:rsidP="00590FB7">
      <w:pPr>
        <w:spacing w:after="0" w:line="276" w:lineRule="auto"/>
        <w:ind w:firstLine="0"/>
        <w:rPr>
          <w:b/>
          <w:bCs/>
          <w:color w:val="222222"/>
        </w:rPr>
      </w:pPr>
      <w:r w:rsidRPr="00037638">
        <w:rPr>
          <w:b/>
          <w:bCs/>
          <w:color w:val="222222"/>
        </w:rPr>
        <w:t>Uji Instrumen</w:t>
      </w:r>
    </w:p>
    <w:p w14:paraId="7710AB60" w14:textId="77777777" w:rsidR="00590FB7" w:rsidRPr="00037638" w:rsidRDefault="00590FB7" w:rsidP="00590FB7">
      <w:pPr>
        <w:spacing w:after="0" w:line="276" w:lineRule="auto"/>
        <w:ind w:firstLine="567"/>
        <w:rPr>
          <w:color w:val="222222"/>
        </w:rPr>
      </w:pPr>
      <w:proofErr w:type="gramStart"/>
      <w:r w:rsidRPr="00037638">
        <w:rPr>
          <w:color w:val="222222"/>
        </w:rPr>
        <w:t>Tabel 2 memperlihatkan hasil uji instrumen pengukuran variabel penelitian yang untuk mendapatkan data.</w:t>
      </w:r>
      <w:proofErr w:type="gramEnd"/>
      <w:r w:rsidRPr="00037638">
        <w:rPr>
          <w:color w:val="222222"/>
        </w:rPr>
        <w:t xml:space="preserve"> Seluruh indikator dengan menggunakan uji validitas pada tiap variabel </w:t>
      </w:r>
      <w:r w:rsidRPr="00037638">
        <w:rPr>
          <w:color w:val="222222"/>
        </w:rPr>
        <w:lastRenderedPageBreak/>
        <w:t>valid dengan diperoleh nilai P-Value 0</w:t>
      </w:r>
      <w:proofErr w:type="gramStart"/>
      <w:r w:rsidRPr="00037638">
        <w:rPr>
          <w:color w:val="222222"/>
        </w:rPr>
        <w:t>,05</w:t>
      </w:r>
      <w:proofErr w:type="gramEnd"/>
      <w:r w:rsidRPr="00037638">
        <w:rPr>
          <w:color w:val="222222"/>
        </w:rPr>
        <w:t xml:space="preserve">. Table 3 menunjukkan hasil uji reliabilitas dengan nilai koefisien reliabilitas Cronbach </w:t>
      </w:r>
      <w:proofErr w:type="gramStart"/>
      <w:r w:rsidRPr="00037638">
        <w:rPr>
          <w:color w:val="222222"/>
        </w:rPr>
        <w:t>Alpha  menunjukkan</w:t>
      </w:r>
      <w:proofErr w:type="gramEnd"/>
      <w:r w:rsidRPr="00037638">
        <w:rPr>
          <w:color w:val="222222"/>
        </w:rPr>
        <w:t xml:space="preserve"> nilai lebih besar dari 0,60.</w:t>
      </w:r>
    </w:p>
    <w:p w14:paraId="558B7A19" w14:textId="77777777" w:rsidR="00590FB7" w:rsidRPr="00A71436" w:rsidRDefault="00590FB7" w:rsidP="00590FB7">
      <w:pPr>
        <w:spacing w:before="120" w:after="0" w:line="276" w:lineRule="auto"/>
        <w:ind w:firstLine="0"/>
        <w:jc w:val="center"/>
        <w:rPr>
          <w:b/>
          <w:bCs/>
          <w:color w:val="222222"/>
        </w:rPr>
      </w:pPr>
      <w:proofErr w:type="gramStart"/>
      <w:r w:rsidRPr="00A71436">
        <w:rPr>
          <w:b/>
          <w:bCs/>
          <w:color w:val="222222"/>
        </w:rPr>
        <w:t>Tabel 2</w:t>
      </w:r>
      <w:r>
        <w:rPr>
          <w:b/>
          <w:bCs/>
          <w:color w:val="222222"/>
        </w:rPr>
        <w:t>.</w:t>
      </w:r>
      <w:proofErr w:type="gramEnd"/>
    </w:p>
    <w:p w14:paraId="62D7E8AC" w14:textId="77777777" w:rsidR="00590FB7" w:rsidRPr="00A71436" w:rsidRDefault="00590FB7" w:rsidP="00590FB7">
      <w:pPr>
        <w:spacing w:after="120" w:line="276" w:lineRule="auto"/>
        <w:ind w:firstLine="0"/>
        <w:jc w:val="center"/>
        <w:rPr>
          <w:color w:val="222222"/>
        </w:rPr>
      </w:pPr>
      <w:r w:rsidRPr="00A71436">
        <w:rPr>
          <w:b/>
          <w:bCs/>
          <w:color w:val="222222"/>
        </w:rPr>
        <w:t>Hasil Uji Validitas</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218"/>
        <w:gridCol w:w="1245"/>
        <w:gridCol w:w="1228"/>
        <w:gridCol w:w="1230"/>
        <w:gridCol w:w="1230"/>
        <w:gridCol w:w="1381"/>
      </w:tblGrid>
      <w:tr w:rsidR="00590FB7" w:rsidRPr="00A71436" w14:paraId="1AD5DAC1" w14:textId="77777777" w:rsidTr="00F52F24">
        <w:tc>
          <w:tcPr>
            <w:tcW w:w="1484" w:type="dxa"/>
            <w:tcBorders>
              <w:bottom w:val="single" w:sz="4" w:space="0" w:color="auto"/>
            </w:tcBorders>
            <w:shd w:val="clear" w:color="auto" w:fill="FFFFFF" w:themeFill="background1"/>
          </w:tcPr>
          <w:p w14:paraId="23AB647A" w14:textId="77777777" w:rsidR="00590FB7" w:rsidRPr="00A71436" w:rsidRDefault="00590FB7" w:rsidP="00F52F24">
            <w:pPr>
              <w:spacing w:before="120" w:after="120" w:line="276" w:lineRule="auto"/>
              <w:rPr>
                <w:color w:val="auto"/>
              </w:rPr>
            </w:pPr>
            <w:r w:rsidRPr="00A71436">
              <w:rPr>
                <w:color w:val="auto"/>
              </w:rPr>
              <w:t>Variabel</w:t>
            </w:r>
          </w:p>
        </w:tc>
        <w:tc>
          <w:tcPr>
            <w:tcW w:w="1218" w:type="dxa"/>
            <w:tcBorders>
              <w:bottom w:val="single" w:sz="4" w:space="0" w:color="auto"/>
            </w:tcBorders>
            <w:shd w:val="clear" w:color="auto" w:fill="FFFFFF" w:themeFill="background1"/>
          </w:tcPr>
          <w:p w14:paraId="013A5BB7" w14:textId="77777777" w:rsidR="00590FB7" w:rsidRPr="00A71436" w:rsidRDefault="00590FB7" w:rsidP="00F52F24">
            <w:pPr>
              <w:spacing w:before="120" w:after="120" w:line="276" w:lineRule="auto"/>
              <w:ind w:firstLine="0"/>
              <w:jc w:val="center"/>
              <w:rPr>
                <w:color w:val="auto"/>
              </w:rPr>
            </w:pPr>
            <w:r w:rsidRPr="00A71436">
              <w:rPr>
                <w:color w:val="auto"/>
              </w:rPr>
              <w:t>Item</w:t>
            </w:r>
          </w:p>
        </w:tc>
        <w:tc>
          <w:tcPr>
            <w:tcW w:w="1245" w:type="dxa"/>
            <w:tcBorders>
              <w:bottom w:val="single" w:sz="4" w:space="0" w:color="auto"/>
            </w:tcBorders>
            <w:shd w:val="clear" w:color="auto" w:fill="FFFFFF" w:themeFill="background1"/>
          </w:tcPr>
          <w:p w14:paraId="36DD2238" w14:textId="77777777" w:rsidR="00590FB7" w:rsidRPr="00A71436" w:rsidRDefault="00590FB7" w:rsidP="00F52F24">
            <w:pPr>
              <w:spacing w:before="120" w:after="120" w:line="276" w:lineRule="auto"/>
              <w:ind w:firstLine="30"/>
              <w:jc w:val="center"/>
              <w:rPr>
                <w:color w:val="auto"/>
              </w:rPr>
            </w:pPr>
            <w:r w:rsidRPr="00A71436">
              <w:rPr>
                <w:color w:val="auto"/>
              </w:rPr>
              <w:t>r-Hitung</w:t>
            </w:r>
          </w:p>
        </w:tc>
        <w:tc>
          <w:tcPr>
            <w:tcW w:w="1228" w:type="dxa"/>
            <w:tcBorders>
              <w:bottom w:val="single" w:sz="4" w:space="0" w:color="auto"/>
            </w:tcBorders>
            <w:shd w:val="clear" w:color="auto" w:fill="FFFFFF" w:themeFill="background1"/>
          </w:tcPr>
          <w:p w14:paraId="5C7694A9" w14:textId="77777777" w:rsidR="00590FB7" w:rsidRPr="00A71436" w:rsidRDefault="00590FB7" w:rsidP="00F52F24">
            <w:pPr>
              <w:spacing w:before="120" w:after="120" w:line="276" w:lineRule="auto"/>
              <w:ind w:firstLine="9"/>
              <w:rPr>
                <w:color w:val="auto"/>
              </w:rPr>
            </w:pPr>
            <w:r w:rsidRPr="00A71436">
              <w:rPr>
                <w:color w:val="auto"/>
              </w:rPr>
              <w:t>r-Tabel</w:t>
            </w:r>
          </w:p>
        </w:tc>
        <w:tc>
          <w:tcPr>
            <w:tcW w:w="1230" w:type="dxa"/>
            <w:tcBorders>
              <w:bottom w:val="single" w:sz="4" w:space="0" w:color="auto"/>
            </w:tcBorders>
            <w:shd w:val="clear" w:color="auto" w:fill="FFFFFF" w:themeFill="background1"/>
          </w:tcPr>
          <w:p w14:paraId="4C32064A" w14:textId="77777777" w:rsidR="00590FB7" w:rsidRPr="00A71436" w:rsidRDefault="00590FB7" w:rsidP="00F52F24">
            <w:pPr>
              <w:spacing w:before="120" w:after="120" w:line="276" w:lineRule="auto"/>
              <w:ind w:firstLine="0"/>
              <w:rPr>
                <w:color w:val="auto"/>
              </w:rPr>
            </w:pPr>
            <w:r w:rsidRPr="00A71436">
              <w:rPr>
                <w:color w:val="auto"/>
              </w:rPr>
              <w:t>P-Value</w:t>
            </w:r>
          </w:p>
        </w:tc>
        <w:tc>
          <w:tcPr>
            <w:tcW w:w="1230" w:type="dxa"/>
            <w:tcBorders>
              <w:bottom w:val="single" w:sz="4" w:space="0" w:color="auto"/>
            </w:tcBorders>
            <w:shd w:val="clear" w:color="auto" w:fill="FFFFFF" w:themeFill="background1"/>
          </w:tcPr>
          <w:p w14:paraId="36281821" w14:textId="77777777" w:rsidR="00590FB7" w:rsidRPr="00A71436" w:rsidRDefault="00590FB7" w:rsidP="00F52F24">
            <w:pPr>
              <w:spacing w:before="120" w:after="120" w:line="276" w:lineRule="auto"/>
              <w:ind w:firstLine="6"/>
              <w:jc w:val="center"/>
              <w:rPr>
                <w:color w:val="auto"/>
              </w:rPr>
            </w:pPr>
            <w:r w:rsidRPr="00A71436">
              <w:rPr>
                <w:color w:val="auto"/>
              </w:rPr>
              <w:t>P-Value</w:t>
            </w:r>
          </w:p>
        </w:tc>
        <w:tc>
          <w:tcPr>
            <w:tcW w:w="1381" w:type="dxa"/>
            <w:tcBorders>
              <w:bottom w:val="single" w:sz="4" w:space="0" w:color="auto"/>
            </w:tcBorders>
            <w:shd w:val="clear" w:color="auto" w:fill="FFFFFF" w:themeFill="background1"/>
          </w:tcPr>
          <w:p w14:paraId="3B327C43" w14:textId="77777777" w:rsidR="00590FB7" w:rsidRPr="00A71436" w:rsidRDefault="00590FB7" w:rsidP="00F52F24">
            <w:pPr>
              <w:spacing w:before="120" w:after="120" w:line="276" w:lineRule="auto"/>
              <w:ind w:firstLine="0"/>
              <w:rPr>
                <w:color w:val="auto"/>
              </w:rPr>
            </w:pPr>
            <w:r w:rsidRPr="00A71436">
              <w:rPr>
                <w:color w:val="auto"/>
              </w:rPr>
              <w:t>Keterangan</w:t>
            </w:r>
          </w:p>
        </w:tc>
      </w:tr>
      <w:tr w:rsidR="00590FB7" w:rsidRPr="00A71436" w14:paraId="32BC0FDD" w14:textId="77777777" w:rsidTr="00F52F24">
        <w:tc>
          <w:tcPr>
            <w:tcW w:w="1484" w:type="dxa"/>
            <w:tcBorders>
              <w:top w:val="single" w:sz="4" w:space="0" w:color="auto"/>
              <w:bottom w:val="single" w:sz="4" w:space="0" w:color="auto"/>
            </w:tcBorders>
            <w:vAlign w:val="center"/>
          </w:tcPr>
          <w:p w14:paraId="1935CB5F" w14:textId="77777777" w:rsidR="00590FB7" w:rsidRPr="00A71436" w:rsidRDefault="00590FB7" w:rsidP="00F52F24">
            <w:pPr>
              <w:spacing w:before="120" w:after="120" w:line="276" w:lineRule="auto"/>
              <w:ind w:firstLine="0"/>
              <w:jc w:val="center"/>
              <w:rPr>
                <w:color w:val="auto"/>
              </w:rPr>
            </w:pPr>
            <w:r w:rsidRPr="00A71436">
              <w:rPr>
                <w:color w:val="auto"/>
              </w:rPr>
              <w:t>Employer Branding (X)</w:t>
            </w:r>
          </w:p>
        </w:tc>
        <w:tc>
          <w:tcPr>
            <w:tcW w:w="1218" w:type="dxa"/>
            <w:tcBorders>
              <w:top w:val="single" w:sz="4" w:space="0" w:color="auto"/>
              <w:bottom w:val="single" w:sz="4" w:space="0" w:color="auto"/>
            </w:tcBorders>
          </w:tcPr>
          <w:p w14:paraId="3FC7CA43" w14:textId="77777777" w:rsidR="00590FB7" w:rsidRPr="00A71436" w:rsidRDefault="00590FB7" w:rsidP="00F52F24">
            <w:pPr>
              <w:spacing w:before="120" w:after="120" w:line="276" w:lineRule="auto"/>
              <w:ind w:firstLine="0"/>
              <w:jc w:val="center"/>
              <w:rPr>
                <w:color w:val="auto"/>
              </w:rPr>
            </w:pPr>
            <w:r w:rsidRPr="00A71436">
              <w:rPr>
                <w:color w:val="auto"/>
              </w:rPr>
              <w:t>X1</w:t>
            </w:r>
          </w:p>
          <w:p w14:paraId="6EA74281" w14:textId="77777777" w:rsidR="00590FB7" w:rsidRPr="00A71436" w:rsidRDefault="00590FB7" w:rsidP="00F52F24">
            <w:pPr>
              <w:spacing w:before="120" w:after="120" w:line="276" w:lineRule="auto"/>
              <w:ind w:firstLine="0"/>
              <w:jc w:val="center"/>
              <w:rPr>
                <w:color w:val="auto"/>
              </w:rPr>
            </w:pPr>
            <w:r w:rsidRPr="00A71436">
              <w:rPr>
                <w:color w:val="auto"/>
              </w:rPr>
              <w:t>X2</w:t>
            </w:r>
          </w:p>
          <w:p w14:paraId="21AF4AB9" w14:textId="77777777" w:rsidR="00590FB7" w:rsidRPr="00A71436" w:rsidRDefault="00590FB7" w:rsidP="00F52F24">
            <w:pPr>
              <w:spacing w:before="120" w:after="120" w:line="276" w:lineRule="auto"/>
              <w:ind w:firstLine="0"/>
              <w:jc w:val="center"/>
              <w:rPr>
                <w:color w:val="auto"/>
              </w:rPr>
            </w:pPr>
            <w:r w:rsidRPr="00A71436">
              <w:rPr>
                <w:color w:val="auto"/>
              </w:rPr>
              <w:t>X3</w:t>
            </w:r>
          </w:p>
          <w:p w14:paraId="5CD2586C" w14:textId="77777777" w:rsidR="00590FB7" w:rsidRPr="00A71436" w:rsidRDefault="00590FB7" w:rsidP="00F52F24">
            <w:pPr>
              <w:spacing w:before="120" w:after="120" w:line="276" w:lineRule="auto"/>
              <w:ind w:firstLine="0"/>
              <w:jc w:val="center"/>
              <w:rPr>
                <w:color w:val="auto"/>
              </w:rPr>
            </w:pPr>
            <w:r w:rsidRPr="00A71436">
              <w:rPr>
                <w:color w:val="auto"/>
              </w:rPr>
              <w:t>X4</w:t>
            </w:r>
          </w:p>
          <w:p w14:paraId="0C971070" w14:textId="77777777" w:rsidR="00590FB7" w:rsidRPr="00A71436" w:rsidRDefault="00590FB7" w:rsidP="00F52F24">
            <w:pPr>
              <w:spacing w:before="120" w:after="120" w:line="276" w:lineRule="auto"/>
              <w:ind w:firstLine="0"/>
              <w:jc w:val="center"/>
              <w:rPr>
                <w:color w:val="auto"/>
              </w:rPr>
            </w:pPr>
            <w:r w:rsidRPr="00A71436">
              <w:rPr>
                <w:color w:val="auto"/>
              </w:rPr>
              <w:t>X5</w:t>
            </w:r>
          </w:p>
        </w:tc>
        <w:tc>
          <w:tcPr>
            <w:tcW w:w="1245" w:type="dxa"/>
            <w:tcBorders>
              <w:top w:val="single" w:sz="4" w:space="0" w:color="auto"/>
              <w:bottom w:val="single" w:sz="4" w:space="0" w:color="auto"/>
            </w:tcBorders>
          </w:tcPr>
          <w:p w14:paraId="1A5E4D11" w14:textId="77777777" w:rsidR="00590FB7" w:rsidRPr="00A71436" w:rsidRDefault="00590FB7" w:rsidP="00F52F24">
            <w:pPr>
              <w:spacing w:before="120" w:after="120" w:line="276" w:lineRule="auto"/>
              <w:ind w:firstLine="118"/>
              <w:jc w:val="center"/>
              <w:rPr>
                <w:color w:val="auto"/>
              </w:rPr>
            </w:pPr>
            <w:r w:rsidRPr="00A71436">
              <w:rPr>
                <w:color w:val="auto"/>
              </w:rPr>
              <w:t>0,575</w:t>
            </w:r>
          </w:p>
          <w:p w14:paraId="2EBF3761" w14:textId="77777777" w:rsidR="00590FB7" w:rsidRPr="00A71436" w:rsidRDefault="00590FB7" w:rsidP="00F52F24">
            <w:pPr>
              <w:spacing w:before="120" w:after="120" w:line="276" w:lineRule="auto"/>
              <w:ind w:firstLine="118"/>
              <w:jc w:val="center"/>
              <w:rPr>
                <w:color w:val="auto"/>
              </w:rPr>
            </w:pPr>
            <w:r w:rsidRPr="00A71436">
              <w:rPr>
                <w:color w:val="auto"/>
              </w:rPr>
              <w:t>0,613</w:t>
            </w:r>
          </w:p>
          <w:p w14:paraId="78BC5289" w14:textId="77777777" w:rsidR="00590FB7" w:rsidRPr="00A71436" w:rsidRDefault="00590FB7" w:rsidP="00F52F24">
            <w:pPr>
              <w:spacing w:before="120" w:after="120" w:line="276" w:lineRule="auto"/>
              <w:ind w:firstLine="118"/>
              <w:jc w:val="center"/>
              <w:rPr>
                <w:color w:val="auto"/>
              </w:rPr>
            </w:pPr>
            <w:r w:rsidRPr="00A71436">
              <w:rPr>
                <w:color w:val="auto"/>
              </w:rPr>
              <w:t>0,578</w:t>
            </w:r>
          </w:p>
          <w:p w14:paraId="6BB74ADA" w14:textId="77777777" w:rsidR="00590FB7" w:rsidRPr="00A71436" w:rsidRDefault="00590FB7" w:rsidP="00F52F24">
            <w:pPr>
              <w:spacing w:before="120" w:after="120" w:line="276" w:lineRule="auto"/>
              <w:ind w:firstLine="118"/>
              <w:jc w:val="center"/>
              <w:rPr>
                <w:color w:val="auto"/>
              </w:rPr>
            </w:pPr>
            <w:r w:rsidRPr="00A71436">
              <w:rPr>
                <w:color w:val="auto"/>
              </w:rPr>
              <w:t>0,649</w:t>
            </w:r>
          </w:p>
          <w:p w14:paraId="71BF7B6A" w14:textId="77777777" w:rsidR="00590FB7" w:rsidRPr="00A71436" w:rsidRDefault="00590FB7" w:rsidP="00F52F24">
            <w:pPr>
              <w:spacing w:before="120" w:after="120" w:line="276" w:lineRule="auto"/>
              <w:ind w:firstLine="118"/>
              <w:jc w:val="center"/>
              <w:rPr>
                <w:color w:val="auto"/>
              </w:rPr>
            </w:pPr>
            <w:r w:rsidRPr="00A71436">
              <w:rPr>
                <w:color w:val="auto"/>
              </w:rPr>
              <w:t>0,517</w:t>
            </w:r>
          </w:p>
        </w:tc>
        <w:tc>
          <w:tcPr>
            <w:tcW w:w="1228" w:type="dxa"/>
            <w:tcBorders>
              <w:top w:val="single" w:sz="4" w:space="0" w:color="auto"/>
              <w:bottom w:val="single" w:sz="4" w:space="0" w:color="auto"/>
            </w:tcBorders>
            <w:vAlign w:val="center"/>
          </w:tcPr>
          <w:p w14:paraId="59EE72D7" w14:textId="77777777" w:rsidR="00590FB7" w:rsidRPr="00A71436" w:rsidRDefault="00590FB7" w:rsidP="00F52F24">
            <w:pPr>
              <w:spacing w:before="120" w:after="120" w:line="276" w:lineRule="auto"/>
              <w:ind w:firstLine="9"/>
              <w:jc w:val="center"/>
              <w:rPr>
                <w:color w:val="auto"/>
              </w:rPr>
            </w:pPr>
            <w:r w:rsidRPr="00A71436">
              <w:rPr>
                <w:color w:val="auto"/>
              </w:rPr>
              <w:t>0,296</w:t>
            </w:r>
          </w:p>
        </w:tc>
        <w:tc>
          <w:tcPr>
            <w:tcW w:w="1230" w:type="dxa"/>
            <w:tcBorders>
              <w:top w:val="single" w:sz="4" w:space="0" w:color="auto"/>
              <w:bottom w:val="single" w:sz="4" w:space="0" w:color="auto"/>
            </w:tcBorders>
          </w:tcPr>
          <w:p w14:paraId="2BB87A26" w14:textId="77777777" w:rsidR="00590FB7" w:rsidRPr="00A71436" w:rsidRDefault="00590FB7" w:rsidP="00F52F24">
            <w:pPr>
              <w:spacing w:before="120" w:after="120" w:line="276" w:lineRule="auto"/>
              <w:ind w:hanging="18"/>
              <w:jc w:val="center"/>
              <w:rPr>
                <w:color w:val="auto"/>
              </w:rPr>
            </w:pPr>
            <w:r w:rsidRPr="00A71436">
              <w:rPr>
                <w:color w:val="auto"/>
              </w:rPr>
              <w:t>0,001</w:t>
            </w:r>
          </w:p>
          <w:p w14:paraId="5F32C7B0" w14:textId="77777777" w:rsidR="00590FB7" w:rsidRPr="00A71436" w:rsidRDefault="00590FB7" w:rsidP="00F52F24">
            <w:pPr>
              <w:spacing w:before="120" w:after="120" w:line="276" w:lineRule="auto"/>
              <w:ind w:hanging="18"/>
              <w:jc w:val="center"/>
              <w:rPr>
                <w:color w:val="auto"/>
              </w:rPr>
            </w:pPr>
            <w:r w:rsidRPr="00A71436">
              <w:rPr>
                <w:color w:val="auto"/>
              </w:rPr>
              <w:t>0,001</w:t>
            </w:r>
          </w:p>
          <w:p w14:paraId="3A239A82" w14:textId="77777777" w:rsidR="00590FB7" w:rsidRPr="00A71436" w:rsidRDefault="00590FB7" w:rsidP="00F52F24">
            <w:pPr>
              <w:spacing w:before="120" w:after="120" w:line="276" w:lineRule="auto"/>
              <w:ind w:hanging="18"/>
              <w:jc w:val="center"/>
              <w:rPr>
                <w:color w:val="auto"/>
              </w:rPr>
            </w:pPr>
            <w:r w:rsidRPr="00A71436">
              <w:rPr>
                <w:color w:val="auto"/>
              </w:rPr>
              <w:t>0,001</w:t>
            </w:r>
          </w:p>
          <w:p w14:paraId="02EB3277" w14:textId="77777777" w:rsidR="00590FB7" w:rsidRPr="00A71436" w:rsidRDefault="00590FB7" w:rsidP="00F52F24">
            <w:pPr>
              <w:spacing w:before="120" w:after="120" w:line="276" w:lineRule="auto"/>
              <w:ind w:hanging="18"/>
              <w:jc w:val="center"/>
              <w:rPr>
                <w:color w:val="auto"/>
              </w:rPr>
            </w:pPr>
            <w:r w:rsidRPr="00A71436">
              <w:rPr>
                <w:color w:val="auto"/>
              </w:rPr>
              <w:t>0,001</w:t>
            </w:r>
          </w:p>
          <w:p w14:paraId="13FBAC6A" w14:textId="77777777" w:rsidR="00590FB7" w:rsidRPr="00A71436" w:rsidRDefault="00590FB7" w:rsidP="00F52F24">
            <w:pPr>
              <w:spacing w:before="120" w:after="120" w:line="276" w:lineRule="auto"/>
              <w:ind w:hanging="18"/>
              <w:jc w:val="center"/>
              <w:rPr>
                <w:color w:val="auto"/>
              </w:rPr>
            </w:pPr>
            <w:r w:rsidRPr="00A71436">
              <w:rPr>
                <w:color w:val="auto"/>
              </w:rPr>
              <w:t>0,002</w:t>
            </w:r>
          </w:p>
        </w:tc>
        <w:tc>
          <w:tcPr>
            <w:tcW w:w="1230" w:type="dxa"/>
            <w:tcBorders>
              <w:top w:val="single" w:sz="4" w:space="0" w:color="auto"/>
              <w:bottom w:val="single" w:sz="4" w:space="0" w:color="auto"/>
            </w:tcBorders>
            <w:vAlign w:val="center"/>
          </w:tcPr>
          <w:p w14:paraId="3912264B" w14:textId="77777777" w:rsidR="00590FB7" w:rsidRPr="00A71436" w:rsidRDefault="00590FB7" w:rsidP="00F52F24">
            <w:pPr>
              <w:spacing w:before="120" w:after="120" w:line="276" w:lineRule="auto"/>
              <w:ind w:firstLine="6"/>
              <w:jc w:val="center"/>
              <w:rPr>
                <w:color w:val="auto"/>
              </w:rPr>
            </w:pPr>
            <w:r w:rsidRPr="00A71436">
              <w:rPr>
                <w:color w:val="auto"/>
              </w:rPr>
              <w:t>0,05</w:t>
            </w:r>
          </w:p>
        </w:tc>
        <w:tc>
          <w:tcPr>
            <w:tcW w:w="1381" w:type="dxa"/>
            <w:tcBorders>
              <w:top w:val="single" w:sz="4" w:space="0" w:color="auto"/>
              <w:bottom w:val="single" w:sz="4" w:space="0" w:color="auto"/>
            </w:tcBorders>
          </w:tcPr>
          <w:p w14:paraId="0853D62E"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134C4867"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708258E7"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53998CAE"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44B6C54E" w14:textId="77777777" w:rsidR="00590FB7" w:rsidRPr="00A71436" w:rsidRDefault="00590FB7" w:rsidP="00F52F24">
            <w:pPr>
              <w:spacing w:before="120" w:after="120" w:line="276" w:lineRule="auto"/>
              <w:ind w:firstLine="0"/>
              <w:jc w:val="center"/>
              <w:rPr>
                <w:color w:val="auto"/>
              </w:rPr>
            </w:pPr>
            <w:r w:rsidRPr="00A71436">
              <w:rPr>
                <w:color w:val="auto"/>
              </w:rPr>
              <w:t>Valid</w:t>
            </w:r>
          </w:p>
        </w:tc>
      </w:tr>
      <w:tr w:rsidR="00590FB7" w:rsidRPr="00A71436" w14:paraId="6F4184F8" w14:textId="77777777" w:rsidTr="00F52F24">
        <w:tc>
          <w:tcPr>
            <w:tcW w:w="1484" w:type="dxa"/>
            <w:tcBorders>
              <w:top w:val="single" w:sz="4" w:space="0" w:color="auto"/>
              <w:bottom w:val="single" w:sz="4" w:space="0" w:color="auto"/>
            </w:tcBorders>
            <w:vAlign w:val="center"/>
          </w:tcPr>
          <w:p w14:paraId="73B9528B" w14:textId="77777777" w:rsidR="00590FB7" w:rsidRPr="00A71436" w:rsidRDefault="00590FB7" w:rsidP="00F52F24">
            <w:pPr>
              <w:spacing w:before="120" w:after="120" w:line="276" w:lineRule="auto"/>
              <w:ind w:firstLine="0"/>
              <w:jc w:val="center"/>
              <w:rPr>
                <w:color w:val="auto"/>
              </w:rPr>
            </w:pPr>
            <w:r w:rsidRPr="00A71436">
              <w:rPr>
                <w:color w:val="auto"/>
              </w:rPr>
              <w:t>Employee Engagement (Z)</w:t>
            </w:r>
          </w:p>
        </w:tc>
        <w:tc>
          <w:tcPr>
            <w:tcW w:w="1218" w:type="dxa"/>
            <w:tcBorders>
              <w:top w:val="single" w:sz="4" w:space="0" w:color="auto"/>
              <w:bottom w:val="single" w:sz="4" w:space="0" w:color="auto"/>
            </w:tcBorders>
          </w:tcPr>
          <w:p w14:paraId="27A0A6B8" w14:textId="77777777" w:rsidR="00590FB7" w:rsidRPr="00A71436" w:rsidRDefault="00590FB7" w:rsidP="00F52F24">
            <w:pPr>
              <w:spacing w:before="120" w:after="120" w:line="276" w:lineRule="auto"/>
              <w:ind w:firstLine="0"/>
              <w:jc w:val="center"/>
              <w:rPr>
                <w:color w:val="auto"/>
              </w:rPr>
            </w:pPr>
            <w:r w:rsidRPr="00A71436">
              <w:rPr>
                <w:color w:val="auto"/>
              </w:rPr>
              <w:t>Z1</w:t>
            </w:r>
          </w:p>
          <w:p w14:paraId="59289CDC" w14:textId="77777777" w:rsidR="00590FB7" w:rsidRPr="00A71436" w:rsidRDefault="00590FB7" w:rsidP="00F52F24">
            <w:pPr>
              <w:spacing w:before="120" w:after="120" w:line="276" w:lineRule="auto"/>
              <w:ind w:firstLine="0"/>
              <w:jc w:val="center"/>
              <w:rPr>
                <w:color w:val="auto"/>
              </w:rPr>
            </w:pPr>
            <w:r w:rsidRPr="00A71436">
              <w:rPr>
                <w:color w:val="auto"/>
              </w:rPr>
              <w:t>Z2</w:t>
            </w:r>
          </w:p>
          <w:p w14:paraId="061690B9" w14:textId="77777777" w:rsidR="00590FB7" w:rsidRPr="00A71436" w:rsidRDefault="00590FB7" w:rsidP="00F52F24">
            <w:pPr>
              <w:spacing w:before="120" w:after="120" w:line="276" w:lineRule="auto"/>
              <w:ind w:firstLine="0"/>
              <w:jc w:val="center"/>
              <w:rPr>
                <w:color w:val="auto"/>
              </w:rPr>
            </w:pPr>
            <w:r w:rsidRPr="00A71436">
              <w:rPr>
                <w:color w:val="auto"/>
              </w:rPr>
              <w:t>Z3</w:t>
            </w:r>
          </w:p>
          <w:p w14:paraId="2ABAB2CB" w14:textId="77777777" w:rsidR="00590FB7" w:rsidRPr="00A71436" w:rsidRDefault="00590FB7" w:rsidP="00F52F24">
            <w:pPr>
              <w:spacing w:before="120" w:after="120" w:line="276" w:lineRule="auto"/>
              <w:ind w:firstLine="0"/>
              <w:jc w:val="center"/>
              <w:rPr>
                <w:color w:val="auto"/>
              </w:rPr>
            </w:pPr>
            <w:r w:rsidRPr="00A71436">
              <w:rPr>
                <w:color w:val="auto"/>
              </w:rPr>
              <w:t>Z4</w:t>
            </w:r>
          </w:p>
          <w:p w14:paraId="5769E851" w14:textId="77777777" w:rsidR="00590FB7" w:rsidRPr="00A71436" w:rsidRDefault="00590FB7" w:rsidP="00F52F24">
            <w:pPr>
              <w:spacing w:before="120" w:after="120" w:line="276" w:lineRule="auto"/>
              <w:ind w:firstLine="0"/>
              <w:jc w:val="center"/>
              <w:rPr>
                <w:color w:val="auto"/>
              </w:rPr>
            </w:pPr>
            <w:r w:rsidRPr="00A71436">
              <w:rPr>
                <w:color w:val="auto"/>
              </w:rPr>
              <w:t>Z5</w:t>
            </w:r>
          </w:p>
          <w:p w14:paraId="15024BB6" w14:textId="77777777" w:rsidR="00590FB7" w:rsidRPr="00A71436" w:rsidRDefault="00590FB7" w:rsidP="00F52F24">
            <w:pPr>
              <w:spacing w:before="120" w:after="120" w:line="276" w:lineRule="auto"/>
              <w:ind w:firstLine="0"/>
              <w:jc w:val="center"/>
              <w:rPr>
                <w:color w:val="auto"/>
              </w:rPr>
            </w:pPr>
            <w:r w:rsidRPr="00A71436">
              <w:rPr>
                <w:color w:val="auto"/>
              </w:rPr>
              <w:t>Z6</w:t>
            </w:r>
          </w:p>
        </w:tc>
        <w:tc>
          <w:tcPr>
            <w:tcW w:w="1245" w:type="dxa"/>
            <w:tcBorders>
              <w:top w:val="single" w:sz="4" w:space="0" w:color="auto"/>
              <w:bottom w:val="single" w:sz="4" w:space="0" w:color="auto"/>
            </w:tcBorders>
          </w:tcPr>
          <w:p w14:paraId="141F4842" w14:textId="77777777" w:rsidR="00590FB7" w:rsidRPr="00A71436" w:rsidRDefault="00590FB7" w:rsidP="00F52F24">
            <w:pPr>
              <w:spacing w:before="120" w:after="120" w:line="276" w:lineRule="auto"/>
              <w:ind w:firstLine="118"/>
              <w:jc w:val="center"/>
              <w:rPr>
                <w:color w:val="auto"/>
              </w:rPr>
            </w:pPr>
            <w:r w:rsidRPr="00A71436">
              <w:rPr>
                <w:color w:val="auto"/>
              </w:rPr>
              <w:t>0,675</w:t>
            </w:r>
          </w:p>
          <w:p w14:paraId="0F23B5DD" w14:textId="77777777" w:rsidR="00590FB7" w:rsidRPr="00A71436" w:rsidRDefault="00590FB7" w:rsidP="00F52F24">
            <w:pPr>
              <w:spacing w:before="120" w:after="120" w:line="276" w:lineRule="auto"/>
              <w:ind w:firstLine="118"/>
              <w:jc w:val="center"/>
              <w:rPr>
                <w:color w:val="auto"/>
              </w:rPr>
            </w:pPr>
            <w:r w:rsidRPr="00A71436">
              <w:rPr>
                <w:color w:val="auto"/>
              </w:rPr>
              <w:t>0,550</w:t>
            </w:r>
          </w:p>
          <w:p w14:paraId="6804A75D" w14:textId="77777777" w:rsidR="00590FB7" w:rsidRPr="00A71436" w:rsidRDefault="00590FB7" w:rsidP="00F52F24">
            <w:pPr>
              <w:spacing w:before="120" w:after="120" w:line="276" w:lineRule="auto"/>
              <w:ind w:firstLine="118"/>
              <w:jc w:val="center"/>
              <w:rPr>
                <w:color w:val="auto"/>
              </w:rPr>
            </w:pPr>
            <w:r w:rsidRPr="00A71436">
              <w:rPr>
                <w:color w:val="auto"/>
              </w:rPr>
              <w:t>0,595</w:t>
            </w:r>
          </w:p>
          <w:p w14:paraId="159590F3" w14:textId="77777777" w:rsidR="00590FB7" w:rsidRPr="00A71436" w:rsidRDefault="00590FB7" w:rsidP="00F52F24">
            <w:pPr>
              <w:spacing w:before="120" w:after="120" w:line="276" w:lineRule="auto"/>
              <w:ind w:firstLine="118"/>
              <w:jc w:val="center"/>
              <w:rPr>
                <w:color w:val="auto"/>
              </w:rPr>
            </w:pPr>
            <w:r w:rsidRPr="00A71436">
              <w:rPr>
                <w:color w:val="auto"/>
              </w:rPr>
              <w:t>0,710</w:t>
            </w:r>
          </w:p>
          <w:p w14:paraId="25E67EEA" w14:textId="77777777" w:rsidR="00590FB7" w:rsidRPr="00A71436" w:rsidRDefault="00590FB7" w:rsidP="00F52F24">
            <w:pPr>
              <w:spacing w:before="120" w:after="120" w:line="276" w:lineRule="auto"/>
              <w:ind w:firstLine="118"/>
              <w:jc w:val="center"/>
              <w:rPr>
                <w:color w:val="auto"/>
              </w:rPr>
            </w:pPr>
            <w:r w:rsidRPr="00A71436">
              <w:rPr>
                <w:color w:val="auto"/>
              </w:rPr>
              <w:t>0,737</w:t>
            </w:r>
          </w:p>
          <w:p w14:paraId="169F992C" w14:textId="77777777" w:rsidR="00590FB7" w:rsidRPr="00A71436" w:rsidRDefault="00590FB7" w:rsidP="00F52F24">
            <w:pPr>
              <w:spacing w:before="120" w:after="120" w:line="276" w:lineRule="auto"/>
              <w:ind w:firstLine="118"/>
              <w:jc w:val="center"/>
              <w:rPr>
                <w:color w:val="auto"/>
              </w:rPr>
            </w:pPr>
            <w:r w:rsidRPr="00A71436">
              <w:rPr>
                <w:color w:val="auto"/>
              </w:rPr>
              <w:t>0,850</w:t>
            </w:r>
          </w:p>
        </w:tc>
        <w:tc>
          <w:tcPr>
            <w:tcW w:w="1228" w:type="dxa"/>
            <w:tcBorders>
              <w:top w:val="single" w:sz="4" w:space="0" w:color="auto"/>
              <w:bottom w:val="single" w:sz="4" w:space="0" w:color="auto"/>
            </w:tcBorders>
            <w:vAlign w:val="center"/>
          </w:tcPr>
          <w:p w14:paraId="03C3EF60" w14:textId="77777777" w:rsidR="00590FB7" w:rsidRPr="00A71436" w:rsidRDefault="00590FB7" w:rsidP="00F52F24">
            <w:pPr>
              <w:spacing w:before="120" w:after="120" w:line="276" w:lineRule="auto"/>
              <w:ind w:firstLine="9"/>
              <w:jc w:val="center"/>
              <w:rPr>
                <w:color w:val="auto"/>
              </w:rPr>
            </w:pPr>
            <w:r w:rsidRPr="00A71436">
              <w:rPr>
                <w:color w:val="auto"/>
              </w:rPr>
              <w:t>0,296</w:t>
            </w:r>
          </w:p>
        </w:tc>
        <w:tc>
          <w:tcPr>
            <w:tcW w:w="1230" w:type="dxa"/>
            <w:tcBorders>
              <w:top w:val="single" w:sz="4" w:space="0" w:color="auto"/>
              <w:bottom w:val="single" w:sz="4" w:space="0" w:color="auto"/>
            </w:tcBorders>
          </w:tcPr>
          <w:p w14:paraId="0EC2E6CE" w14:textId="77777777" w:rsidR="00590FB7" w:rsidRPr="00A71436" w:rsidRDefault="00590FB7" w:rsidP="00F52F24">
            <w:pPr>
              <w:spacing w:before="120" w:after="120" w:line="276" w:lineRule="auto"/>
              <w:ind w:firstLine="57"/>
              <w:jc w:val="center"/>
              <w:rPr>
                <w:color w:val="auto"/>
              </w:rPr>
            </w:pPr>
            <w:r w:rsidRPr="00A71436">
              <w:rPr>
                <w:color w:val="auto"/>
              </w:rPr>
              <w:t>0,001</w:t>
            </w:r>
          </w:p>
          <w:p w14:paraId="661D37C3" w14:textId="77777777" w:rsidR="00590FB7" w:rsidRPr="00A71436" w:rsidRDefault="00590FB7" w:rsidP="00F52F24">
            <w:pPr>
              <w:spacing w:before="120" w:after="120" w:line="276" w:lineRule="auto"/>
              <w:ind w:firstLine="57"/>
              <w:jc w:val="center"/>
              <w:rPr>
                <w:color w:val="auto"/>
              </w:rPr>
            </w:pPr>
            <w:r w:rsidRPr="00A71436">
              <w:rPr>
                <w:color w:val="auto"/>
              </w:rPr>
              <w:t>0,001</w:t>
            </w:r>
          </w:p>
          <w:p w14:paraId="09F12642" w14:textId="77777777" w:rsidR="00590FB7" w:rsidRPr="00A71436" w:rsidRDefault="00590FB7" w:rsidP="00F52F24">
            <w:pPr>
              <w:spacing w:before="120" w:after="120" w:line="276" w:lineRule="auto"/>
              <w:ind w:firstLine="57"/>
              <w:jc w:val="center"/>
              <w:rPr>
                <w:color w:val="auto"/>
              </w:rPr>
            </w:pPr>
            <w:r w:rsidRPr="00A71436">
              <w:rPr>
                <w:color w:val="auto"/>
              </w:rPr>
              <w:t>0,001</w:t>
            </w:r>
          </w:p>
          <w:p w14:paraId="03557378" w14:textId="77777777" w:rsidR="00590FB7" w:rsidRPr="00A71436" w:rsidRDefault="00590FB7" w:rsidP="00F52F24">
            <w:pPr>
              <w:spacing w:before="120" w:after="120" w:line="276" w:lineRule="auto"/>
              <w:ind w:firstLine="57"/>
              <w:jc w:val="center"/>
              <w:rPr>
                <w:color w:val="auto"/>
              </w:rPr>
            </w:pPr>
            <w:r w:rsidRPr="00A71436">
              <w:rPr>
                <w:color w:val="auto"/>
              </w:rPr>
              <w:t>0,001</w:t>
            </w:r>
          </w:p>
          <w:p w14:paraId="003B6CA2" w14:textId="77777777" w:rsidR="00590FB7" w:rsidRPr="00A71436" w:rsidRDefault="00590FB7" w:rsidP="00F52F24">
            <w:pPr>
              <w:spacing w:before="120" w:after="120" w:line="276" w:lineRule="auto"/>
              <w:ind w:firstLine="57"/>
              <w:jc w:val="center"/>
              <w:rPr>
                <w:color w:val="auto"/>
              </w:rPr>
            </w:pPr>
            <w:r w:rsidRPr="00A71436">
              <w:rPr>
                <w:color w:val="auto"/>
              </w:rPr>
              <w:t>0,001</w:t>
            </w:r>
          </w:p>
          <w:p w14:paraId="02C33283" w14:textId="77777777" w:rsidR="00590FB7" w:rsidRPr="00A71436" w:rsidRDefault="00590FB7" w:rsidP="00F52F24">
            <w:pPr>
              <w:spacing w:before="120" w:after="120" w:line="276" w:lineRule="auto"/>
              <w:ind w:firstLine="57"/>
              <w:jc w:val="center"/>
              <w:rPr>
                <w:color w:val="auto"/>
              </w:rPr>
            </w:pPr>
            <w:r w:rsidRPr="00A71436">
              <w:rPr>
                <w:color w:val="auto"/>
              </w:rPr>
              <w:t>0,001</w:t>
            </w:r>
          </w:p>
        </w:tc>
        <w:tc>
          <w:tcPr>
            <w:tcW w:w="1230" w:type="dxa"/>
            <w:tcBorders>
              <w:top w:val="single" w:sz="4" w:space="0" w:color="auto"/>
              <w:bottom w:val="single" w:sz="4" w:space="0" w:color="auto"/>
            </w:tcBorders>
            <w:vAlign w:val="center"/>
          </w:tcPr>
          <w:p w14:paraId="15756CCA" w14:textId="77777777" w:rsidR="00590FB7" w:rsidRPr="00A71436" w:rsidRDefault="00590FB7" w:rsidP="00F52F24">
            <w:pPr>
              <w:spacing w:before="120" w:after="120" w:line="276" w:lineRule="auto"/>
              <w:jc w:val="center"/>
              <w:rPr>
                <w:color w:val="auto"/>
              </w:rPr>
            </w:pPr>
            <w:r w:rsidRPr="00A71436">
              <w:rPr>
                <w:color w:val="auto"/>
              </w:rPr>
              <w:t>0,05</w:t>
            </w:r>
          </w:p>
        </w:tc>
        <w:tc>
          <w:tcPr>
            <w:tcW w:w="1381" w:type="dxa"/>
            <w:tcBorders>
              <w:top w:val="single" w:sz="4" w:space="0" w:color="auto"/>
              <w:bottom w:val="single" w:sz="4" w:space="0" w:color="auto"/>
            </w:tcBorders>
          </w:tcPr>
          <w:p w14:paraId="54DB2EC7"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779E6517"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12990EF5"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14DF7A30"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5C5F4B38"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4ED57DA2" w14:textId="77777777" w:rsidR="00590FB7" w:rsidRPr="00A71436" w:rsidRDefault="00590FB7" w:rsidP="00F52F24">
            <w:pPr>
              <w:spacing w:before="120" w:after="120" w:line="276" w:lineRule="auto"/>
              <w:ind w:firstLine="0"/>
              <w:jc w:val="center"/>
              <w:rPr>
                <w:color w:val="auto"/>
              </w:rPr>
            </w:pPr>
            <w:r w:rsidRPr="00A71436">
              <w:rPr>
                <w:color w:val="auto"/>
              </w:rPr>
              <w:t>Valid</w:t>
            </w:r>
          </w:p>
        </w:tc>
      </w:tr>
      <w:tr w:rsidR="00590FB7" w:rsidRPr="00A71436" w14:paraId="7E382E0A" w14:textId="77777777" w:rsidTr="00F52F24">
        <w:tc>
          <w:tcPr>
            <w:tcW w:w="1484" w:type="dxa"/>
            <w:tcBorders>
              <w:top w:val="single" w:sz="4" w:space="0" w:color="auto"/>
            </w:tcBorders>
            <w:vAlign w:val="center"/>
          </w:tcPr>
          <w:p w14:paraId="3F97051F" w14:textId="77777777" w:rsidR="00590FB7" w:rsidRPr="00A71436" w:rsidRDefault="00590FB7" w:rsidP="00F52F24">
            <w:pPr>
              <w:spacing w:before="120" w:after="120" w:line="276" w:lineRule="auto"/>
              <w:ind w:firstLine="0"/>
              <w:jc w:val="center"/>
              <w:rPr>
                <w:color w:val="auto"/>
              </w:rPr>
            </w:pPr>
            <w:r w:rsidRPr="00A71436">
              <w:rPr>
                <w:color w:val="auto"/>
              </w:rPr>
              <w:t>Turnover Intention (Y)</w:t>
            </w:r>
          </w:p>
        </w:tc>
        <w:tc>
          <w:tcPr>
            <w:tcW w:w="1218" w:type="dxa"/>
            <w:tcBorders>
              <w:top w:val="single" w:sz="4" w:space="0" w:color="auto"/>
            </w:tcBorders>
          </w:tcPr>
          <w:p w14:paraId="1FAC46D0" w14:textId="77777777" w:rsidR="00590FB7" w:rsidRPr="00A71436" w:rsidRDefault="00590FB7" w:rsidP="00F52F24">
            <w:pPr>
              <w:spacing w:before="120" w:after="120" w:line="276" w:lineRule="auto"/>
              <w:ind w:firstLine="0"/>
              <w:jc w:val="center"/>
              <w:rPr>
                <w:color w:val="auto"/>
              </w:rPr>
            </w:pPr>
            <w:r w:rsidRPr="00A71436">
              <w:rPr>
                <w:color w:val="auto"/>
              </w:rPr>
              <w:t>Y1</w:t>
            </w:r>
          </w:p>
          <w:p w14:paraId="2F255728" w14:textId="77777777" w:rsidR="00590FB7" w:rsidRPr="00A71436" w:rsidRDefault="00590FB7" w:rsidP="00F52F24">
            <w:pPr>
              <w:spacing w:before="120" w:after="120" w:line="276" w:lineRule="auto"/>
              <w:ind w:firstLine="0"/>
              <w:jc w:val="center"/>
              <w:rPr>
                <w:color w:val="auto"/>
              </w:rPr>
            </w:pPr>
            <w:r w:rsidRPr="00A71436">
              <w:rPr>
                <w:color w:val="auto"/>
              </w:rPr>
              <w:t>Y2</w:t>
            </w:r>
          </w:p>
          <w:p w14:paraId="468D58D8" w14:textId="77777777" w:rsidR="00590FB7" w:rsidRPr="00A71436" w:rsidRDefault="00590FB7" w:rsidP="00F52F24">
            <w:pPr>
              <w:spacing w:before="120" w:after="120" w:line="276" w:lineRule="auto"/>
              <w:ind w:firstLine="0"/>
              <w:jc w:val="center"/>
              <w:rPr>
                <w:color w:val="auto"/>
              </w:rPr>
            </w:pPr>
            <w:r w:rsidRPr="00A71436">
              <w:rPr>
                <w:color w:val="auto"/>
              </w:rPr>
              <w:t>Y3</w:t>
            </w:r>
          </w:p>
        </w:tc>
        <w:tc>
          <w:tcPr>
            <w:tcW w:w="1245" w:type="dxa"/>
            <w:tcBorders>
              <w:top w:val="single" w:sz="4" w:space="0" w:color="auto"/>
            </w:tcBorders>
          </w:tcPr>
          <w:p w14:paraId="379642F7" w14:textId="77777777" w:rsidR="00590FB7" w:rsidRPr="00A71436" w:rsidRDefault="00590FB7" w:rsidP="00F52F24">
            <w:pPr>
              <w:spacing w:before="120" w:after="120" w:line="276" w:lineRule="auto"/>
              <w:ind w:firstLine="0"/>
              <w:jc w:val="center"/>
              <w:rPr>
                <w:color w:val="auto"/>
              </w:rPr>
            </w:pPr>
            <w:r w:rsidRPr="00A71436">
              <w:rPr>
                <w:color w:val="auto"/>
              </w:rPr>
              <w:t>0,907</w:t>
            </w:r>
          </w:p>
          <w:p w14:paraId="1A93D82C" w14:textId="77777777" w:rsidR="00590FB7" w:rsidRPr="00A71436" w:rsidRDefault="00590FB7" w:rsidP="00F52F24">
            <w:pPr>
              <w:spacing w:before="120" w:after="120" w:line="276" w:lineRule="auto"/>
              <w:ind w:firstLine="0"/>
              <w:jc w:val="center"/>
              <w:rPr>
                <w:color w:val="auto"/>
              </w:rPr>
            </w:pPr>
            <w:r w:rsidRPr="00A71436">
              <w:rPr>
                <w:color w:val="auto"/>
              </w:rPr>
              <w:t>0,850</w:t>
            </w:r>
          </w:p>
          <w:p w14:paraId="34D8CCAD" w14:textId="77777777" w:rsidR="00590FB7" w:rsidRPr="00A71436" w:rsidRDefault="00590FB7" w:rsidP="00F52F24">
            <w:pPr>
              <w:spacing w:before="120" w:after="120" w:line="276" w:lineRule="auto"/>
              <w:ind w:firstLine="0"/>
              <w:jc w:val="center"/>
              <w:rPr>
                <w:color w:val="auto"/>
              </w:rPr>
            </w:pPr>
            <w:r w:rsidRPr="00A71436">
              <w:rPr>
                <w:color w:val="auto"/>
              </w:rPr>
              <w:t>0,892</w:t>
            </w:r>
          </w:p>
        </w:tc>
        <w:tc>
          <w:tcPr>
            <w:tcW w:w="1228" w:type="dxa"/>
            <w:tcBorders>
              <w:top w:val="single" w:sz="4" w:space="0" w:color="auto"/>
            </w:tcBorders>
            <w:vAlign w:val="center"/>
          </w:tcPr>
          <w:p w14:paraId="7C30E7A1" w14:textId="77777777" w:rsidR="00590FB7" w:rsidRPr="00A71436" w:rsidRDefault="00590FB7" w:rsidP="00F52F24">
            <w:pPr>
              <w:spacing w:before="120" w:after="120" w:line="276" w:lineRule="auto"/>
              <w:ind w:firstLine="0"/>
              <w:jc w:val="center"/>
              <w:rPr>
                <w:color w:val="auto"/>
              </w:rPr>
            </w:pPr>
            <w:r w:rsidRPr="00A71436">
              <w:rPr>
                <w:color w:val="auto"/>
              </w:rPr>
              <w:t>0,296</w:t>
            </w:r>
          </w:p>
        </w:tc>
        <w:tc>
          <w:tcPr>
            <w:tcW w:w="1230" w:type="dxa"/>
            <w:tcBorders>
              <w:top w:val="single" w:sz="4" w:space="0" w:color="auto"/>
            </w:tcBorders>
          </w:tcPr>
          <w:p w14:paraId="7B330312" w14:textId="77777777" w:rsidR="00590FB7" w:rsidRPr="00A71436" w:rsidRDefault="00590FB7" w:rsidP="00F52F24">
            <w:pPr>
              <w:spacing w:before="120" w:after="120" w:line="276" w:lineRule="auto"/>
              <w:ind w:firstLine="0"/>
              <w:jc w:val="center"/>
              <w:rPr>
                <w:color w:val="auto"/>
              </w:rPr>
            </w:pPr>
            <w:r w:rsidRPr="00A71436">
              <w:rPr>
                <w:color w:val="auto"/>
              </w:rPr>
              <w:t>0,001</w:t>
            </w:r>
          </w:p>
          <w:p w14:paraId="6F09C5D8" w14:textId="77777777" w:rsidR="00590FB7" w:rsidRPr="00A71436" w:rsidRDefault="00590FB7" w:rsidP="00F52F24">
            <w:pPr>
              <w:spacing w:before="120" w:after="120" w:line="276" w:lineRule="auto"/>
              <w:ind w:firstLine="0"/>
              <w:jc w:val="center"/>
              <w:rPr>
                <w:color w:val="auto"/>
              </w:rPr>
            </w:pPr>
            <w:r w:rsidRPr="00A71436">
              <w:rPr>
                <w:color w:val="auto"/>
              </w:rPr>
              <w:t>0,001</w:t>
            </w:r>
          </w:p>
          <w:p w14:paraId="64F7D67E" w14:textId="77777777" w:rsidR="00590FB7" w:rsidRPr="00A71436" w:rsidRDefault="00590FB7" w:rsidP="00F52F24">
            <w:pPr>
              <w:spacing w:before="120" w:after="120" w:line="276" w:lineRule="auto"/>
              <w:ind w:firstLine="0"/>
              <w:jc w:val="center"/>
              <w:rPr>
                <w:color w:val="auto"/>
              </w:rPr>
            </w:pPr>
            <w:r w:rsidRPr="00A71436">
              <w:rPr>
                <w:color w:val="auto"/>
              </w:rPr>
              <w:t>0,001</w:t>
            </w:r>
          </w:p>
        </w:tc>
        <w:tc>
          <w:tcPr>
            <w:tcW w:w="1230" w:type="dxa"/>
            <w:tcBorders>
              <w:top w:val="single" w:sz="4" w:space="0" w:color="auto"/>
            </w:tcBorders>
            <w:vAlign w:val="center"/>
          </w:tcPr>
          <w:p w14:paraId="12EC96B0" w14:textId="77777777" w:rsidR="00590FB7" w:rsidRPr="00A71436" w:rsidRDefault="00590FB7" w:rsidP="00F52F24">
            <w:pPr>
              <w:spacing w:before="120" w:after="120" w:line="276" w:lineRule="auto"/>
              <w:ind w:firstLine="0"/>
              <w:jc w:val="center"/>
              <w:rPr>
                <w:color w:val="auto"/>
              </w:rPr>
            </w:pPr>
            <w:r w:rsidRPr="00A71436">
              <w:rPr>
                <w:color w:val="auto"/>
              </w:rPr>
              <w:t>0,05</w:t>
            </w:r>
          </w:p>
        </w:tc>
        <w:tc>
          <w:tcPr>
            <w:tcW w:w="1381" w:type="dxa"/>
            <w:tcBorders>
              <w:top w:val="single" w:sz="4" w:space="0" w:color="auto"/>
            </w:tcBorders>
          </w:tcPr>
          <w:p w14:paraId="195D9B88"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37246FB9" w14:textId="77777777" w:rsidR="00590FB7" w:rsidRPr="00A71436" w:rsidRDefault="00590FB7" w:rsidP="00F52F24">
            <w:pPr>
              <w:spacing w:before="120" w:after="120" w:line="276" w:lineRule="auto"/>
              <w:ind w:firstLine="0"/>
              <w:jc w:val="center"/>
              <w:rPr>
                <w:color w:val="auto"/>
              </w:rPr>
            </w:pPr>
            <w:r w:rsidRPr="00A71436">
              <w:rPr>
                <w:color w:val="auto"/>
              </w:rPr>
              <w:t>Valid</w:t>
            </w:r>
          </w:p>
          <w:p w14:paraId="0BDED258" w14:textId="77777777" w:rsidR="00590FB7" w:rsidRPr="00A71436" w:rsidRDefault="00590FB7" w:rsidP="00F52F24">
            <w:pPr>
              <w:spacing w:before="120" w:after="120" w:line="276" w:lineRule="auto"/>
              <w:ind w:firstLine="0"/>
              <w:jc w:val="center"/>
              <w:rPr>
                <w:color w:val="auto"/>
              </w:rPr>
            </w:pPr>
            <w:r w:rsidRPr="00A71436">
              <w:rPr>
                <w:color w:val="auto"/>
              </w:rPr>
              <w:t>Valid</w:t>
            </w:r>
          </w:p>
        </w:tc>
      </w:tr>
    </w:tbl>
    <w:p w14:paraId="4C4B3F0D" w14:textId="77777777" w:rsidR="00590FB7" w:rsidRPr="00A71436" w:rsidRDefault="00590FB7" w:rsidP="00590FB7">
      <w:pPr>
        <w:spacing w:before="120" w:after="120" w:line="276" w:lineRule="auto"/>
        <w:ind w:firstLine="0"/>
        <w:jc w:val="left"/>
        <w:rPr>
          <w:i/>
          <w:iCs/>
          <w:color w:val="auto"/>
        </w:rPr>
      </w:pPr>
      <w:r w:rsidRPr="00A71436">
        <w:rPr>
          <w:i/>
          <w:iCs/>
          <w:color w:val="auto"/>
        </w:rPr>
        <w:t>Sumber: Hasil Pengolahan SPSS, 2023</w:t>
      </w:r>
    </w:p>
    <w:p w14:paraId="5E0F7D24" w14:textId="77777777" w:rsidR="00590FB7" w:rsidRPr="00A71436" w:rsidRDefault="00590FB7" w:rsidP="00590FB7">
      <w:pPr>
        <w:spacing w:after="0" w:line="276" w:lineRule="auto"/>
        <w:ind w:firstLine="0"/>
        <w:jc w:val="center"/>
        <w:rPr>
          <w:b/>
          <w:bCs/>
          <w:color w:val="auto"/>
        </w:rPr>
      </w:pPr>
      <w:proofErr w:type="gramStart"/>
      <w:r w:rsidRPr="00A71436">
        <w:rPr>
          <w:b/>
          <w:bCs/>
          <w:color w:val="auto"/>
        </w:rPr>
        <w:t>Tabel 3</w:t>
      </w:r>
      <w:r>
        <w:rPr>
          <w:b/>
          <w:bCs/>
          <w:color w:val="auto"/>
        </w:rPr>
        <w:t>.</w:t>
      </w:r>
      <w:proofErr w:type="gramEnd"/>
    </w:p>
    <w:p w14:paraId="1340B781" w14:textId="77777777" w:rsidR="00590FB7" w:rsidRPr="00A71436" w:rsidRDefault="00590FB7" w:rsidP="00590FB7">
      <w:pPr>
        <w:spacing w:after="0" w:line="276" w:lineRule="auto"/>
        <w:ind w:firstLine="0"/>
        <w:jc w:val="center"/>
        <w:rPr>
          <w:b/>
          <w:bCs/>
          <w:color w:val="auto"/>
        </w:rPr>
      </w:pPr>
      <w:r w:rsidRPr="00A71436">
        <w:rPr>
          <w:b/>
          <w:bCs/>
          <w:color w:val="auto"/>
        </w:rPr>
        <w:t>Hasil Uji Reliabilitas</w:t>
      </w:r>
    </w:p>
    <w:p w14:paraId="41CC2E5B" w14:textId="711C199D" w:rsidR="00E86923" w:rsidRDefault="006B0570" w:rsidP="0057075A">
      <w:pPr>
        <w:spacing w:line="276" w:lineRule="auto"/>
        <w:ind w:left="284" w:firstLine="567"/>
        <w:rPr>
          <w:szCs w:val="24"/>
        </w:rPr>
      </w:pPr>
      <w:r w:rsidRPr="006B0570">
        <w:rPr>
          <w:szCs w:val="24"/>
        </w:rPr>
        <w:t>.</w:t>
      </w:r>
      <w:r w:rsidR="004420BE">
        <w:rPr>
          <w:szCs w:val="24"/>
        </w:rPr>
        <w:t xml:space="preserve"> </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90FB7" w:rsidRPr="00A71436" w14:paraId="31CF41B0" w14:textId="77777777" w:rsidTr="00F52F24">
        <w:tc>
          <w:tcPr>
            <w:tcW w:w="3005" w:type="dxa"/>
            <w:tcBorders>
              <w:bottom w:val="single" w:sz="4" w:space="0" w:color="auto"/>
            </w:tcBorders>
            <w:shd w:val="clear" w:color="auto" w:fill="FFFFFF" w:themeFill="background1"/>
          </w:tcPr>
          <w:p w14:paraId="7F18C587" w14:textId="77777777" w:rsidR="00590FB7" w:rsidRPr="00A71436" w:rsidRDefault="00590FB7" w:rsidP="00F52F24">
            <w:pPr>
              <w:spacing w:before="120" w:after="120" w:line="276" w:lineRule="auto"/>
              <w:ind w:firstLine="0"/>
              <w:rPr>
                <w:color w:val="auto"/>
              </w:rPr>
            </w:pPr>
            <w:r w:rsidRPr="00A71436">
              <w:rPr>
                <w:color w:val="auto"/>
              </w:rPr>
              <w:t>Variabel</w:t>
            </w:r>
          </w:p>
        </w:tc>
        <w:tc>
          <w:tcPr>
            <w:tcW w:w="3005" w:type="dxa"/>
            <w:tcBorders>
              <w:bottom w:val="single" w:sz="4" w:space="0" w:color="auto"/>
            </w:tcBorders>
            <w:shd w:val="clear" w:color="auto" w:fill="FFFFFF" w:themeFill="background1"/>
          </w:tcPr>
          <w:p w14:paraId="745EC101" w14:textId="77777777" w:rsidR="00590FB7" w:rsidRPr="00A71436" w:rsidRDefault="00590FB7" w:rsidP="00F52F24">
            <w:pPr>
              <w:spacing w:before="120" w:after="120" w:line="276" w:lineRule="auto"/>
              <w:ind w:firstLine="0"/>
              <w:jc w:val="center"/>
              <w:rPr>
                <w:color w:val="auto"/>
              </w:rPr>
            </w:pPr>
            <w:r w:rsidRPr="00A71436">
              <w:rPr>
                <w:color w:val="auto"/>
              </w:rPr>
              <w:t>Koefisien Reliabilitas</w:t>
            </w:r>
          </w:p>
        </w:tc>
        <w:tc>
          <w:tcPr>
            <w:tcW w:w="3006" w:type="dxa"/>
            <w:tcBorders>
              <w:bottom w:val="single" w:sz="4" w:space="0" w:color="auto"/>
            </w:tcBorders>
            <w:shd w:val="clear" w:color="auto" w:fill="FFFFFF" w:themeFill="background1"/>
          </w:tcPr>
          <w:p w14:paraId="721F3208" w14:textId="77777777" w:rsidR="00590FB7" w:rsidRPr="00A71436" w:rsidRDefault="00590FB7" w:rsidP="00F52F24">
            <w:pPr>
              <w:spacing w:before="120" w:after="120" w:line="276" w:lineRule="auto"/>
              <w:ind w:firstLine="0"/>
              <w:jc w:val="center"/>
              <w:rPr>
                <w:color w:val="auto"/>
              </w:rPr>
            </w:pPr>
            <w:r w:rsidRPr="00A71436">
              <w:rPr>
                <w:color w:val="auto"/>
              </w:rPr>
              <w:t>Keterangan</w:t>
            </w:r>
          </w:p>
        </w:tc>
      </w:tr>
      <w:tr w:rsidR="00590FB7" w:rsidRPr="00A71436" w14:paraId="13EDFDB6" w14:textId="77777777" w:rsidTr="00F52F24">
        <w:tc>
          <w:tcPr>
            <w:tcW w:w="3005" w:type="dxa"/>
            <w:tcBorders>
              <w:top w:val="single" w:sz="4" w:space="0" w:color="auto"/>
              <w:bottom w:val="nil"/>
            </w:tcBorders>
          </w:tcPr>
          <w:p w14:paraId="7717BC40" w14:textId="77777777" w:rsidR="00590FB7" w:rsidRPr="00A71436" w:rsidRDefault="00590FB7" w:rsidP="00F52F24">
            <w:pPr>
              <w:spacing w:before="120" w:after="120" w:line="276" w:lineRule="auto"/>
              <w:ind w:firstLine="0"/>
              <w:rPr>
                <w:color w:val="auto"/>
              </w:rPr>
            </w:pPr>
            <w:r w:rsidRPr="00A71436">
              <w:rPr>
                <w:color w:val="auto"/>
              </w:rPr>
              <w:t>Employer Branding (X)</w:t>
            </w:r>
          </w:p>
        </w:tc>
        <w:tc>
          <w:tcPr>
            <w:tcW w:w="3005" w:type="dxa"/>
            <w:tcBorders>
              <w:top w:val="single" w:sz="4" w:space="0" w:color="auto"/>
              <w:bottom w:val="nil"/>
            </w:tcBorders>
          </w:tcPr>
          <w:p w14:paraId="649DCFBF" w14:textId="77777777" w:rsidR="00590FB7" w:rsidRPr="00A71436" w:rsidRDefault="00590FB7" w:rsidP="00F52F24">
            <w:pPr>
              <w:spacing w:before="120" w:after="120" w:line="276" w:lineRule="auto"/>
              <w:ind w:firstLine="0"/>
              <w:jc w:val="center"/>
              <w:rPr>
                <w:color w:val="auto"/>
              </w:rPr>
            </w:pPr>
            <w:r w:rsidRPr="00A71436">
              <w:rPr>
                <w:color w:val="auto"/>
              </w:rPr>
              <w:t>0,721</w:t>
            </w:r>
          </w:p>
        </w:tc>
        <w:tc>
          <w:tcPr>
            <w:tcW w:w="3006" w:type="dxa"/>
            <w:tcBorders>
              <w:top w:val="single" w:sz="4" w:space="0" w:color="auto"/>
              <w:bottom w:val="nil"/>
            </w:tcBorders>
          </w:tcPr>
          <w:p w14:paraId="1537ACD4" w14:textId="77777777" w:rsidR="00590FB7" w:rsidRPr="00A71436" w:rsidRDefault="00590FB7" w:rsidP="00F52F24">
            <w:pPr>
              <w:spacing w:before="120" w:after="120" w:line="276" w:lineRule="auto"/>
              <w:ind w:firstLine="0"/>
              <w:jc w:val="center"/>
              <w:rPr>
                <w:color w:val="auto"/>
              </w:rPr>
            </w:pPr>
            <w:r w:rsidRPr="00A71436">
              <w:rPr>
                <w:color w:val="auto"/>
              </w:rPr>
              <w:t>Reliabel</w:t>
            </w:r>
          </w:p>
        </w:tc>
      </w:tr>
      <w:tr w:rsidR="00590FB7" w:rsidRPr="00A71436" w14:paraId="70FF15F3" w14:textId="77777777" w:rsidTr="00F52F24">
        <w:tc>
          <w:tcPr>
            <w:tcW w:w="3005" w:type="dxa"/>
            <w:tcBorders>
              <w:top w:val="nil"/>
              <w:bottom w:val="nil"/>
            </w:tcBorders>
          </w:tcPr>
          <w:p w14:paraId="2C2AE78A" w14:textId="77777777" w:rsidR="00590FB7" w:rsidRPr="00A71436" w:rsidRDefault="00590FB7" w:rsidP="00F52F24">
            <w:pPr>
              <w:spacing w:before="120" w:after="120" w:line="276" w:lineRule="auto"/>
              <w:ind w:firstLine="0"/>
              <w:rPr>
                <w:color w:val="auto"/>
              </w:rPr>
            </w:pPr>
            <w:r w:rsidRPr="00A71436">
              <w:rPr>
                <w:color w:val="auto"/>
              </w:rPr>
              <w:t>Employee Engagement (Z)</w:t>
            </w:r>
          </w:p>
        </w:tc>
        <w:tc>
          <w:tcPr>
            <w:tcW w:w="3005" w:type="dxa"/>
            <w:tcBorders>
              <w:top w:val="nil"/>
              <w:bottom w:val="nil"/>
            </w:tcBorders>
          </w:tcPr>
          <w:p w14:paraId="05016A5C" w14:textId="77777777" w:rsidR="00590FB7" w:rsidRPr="00A71436" w:rsidRDefault="00590FB7" w:rsidP="00F52F24">
            <w:pPr>
              <w:spacing w:before="120" w:after="120" w:line="276" w:lineRule="auto"/>
              <w:ind w:firstLine="0"/>
              <w:jc w:val="center"/>
              <w:rPr>
                <w:color w:val="auto"/>
              </w:rPr>
            </w:pPr>
            <w:r w:rsidRPr="00A71436">
              <w:rPr>
                <w:color w:val="auto"/>
              </w:rPr>
              <w:t>0,772</w:t>
            </w:r>
          </w:p>
        </w:tc>
        <w:tc>
          <w:tcPr>
            <w:tcW w:w="3006" w:type="dxa"/>
            <w:tcBorders>
              <w:top w:val="nil"/>
              <w:bottom w:val="nil"/>
            </w:tcBorders>
          </w:tcPr>
          <w:p w14:paraId="2259FB01" w14:textId="77777777" w:rsidR="00590FB7" w:rsidRPr="00A71436" w:rsidRDefault="00590FB7" w:rsidP="00F52F24">
            <w:pPr>
              <w:spacing w:before="120" w:after="120" w:line="276" w:lineRule="auto"/>
              <w:ind w:firstLine="0"/>
              <w:jc w:val="center"/>
              <w:rPr>
                <w:color w:val="auto"/>
              </w:rPr>
            </w:pPr>
            <w:r w:rsidRPr="00A71436">
              <w:rPr>
                <w:color w:val="auto"/>
              </w:rPr>
              <w:t>Reliabel</w:t>
            </w:r>
          </w:p>
        </w:tc>
      </w:tr>
      <w:tr w:rsidR="00590FB7" w:rsidRPr="00A71436" w14:paraId="21B2AAB1" w14:textId="77777777" w:rsidTr="00F52F24">
        <w:tc>
          <w:tcPr>
            <w:tcW w:w="3005" w:type="dxa"/>
            <w:tcBorders>
              <w:top w:val="nil"/>
              <w:bottom w:val="single" w:sz="4" w:space="0" w:color="auto"/>
            </w:tcBorders>
          </w:tcPr>
          <w:p w14:paraId="04F9FB26" w14:textId="77777777" w:rsidR="00590FB7" w:rsidRPr="00A71436" w:rsidRDefault="00590FB7" w:rsidP="00F52F24">
            <w:pPr>
              <w:spacing w:before="120" w:after="120" w:line="276" w:lineRule="auto"/>
              <w:ind w:firstLine="0"/>
              <w:rPr>
                <w:color w:val="auto"/>
              </w:rPr>
            </w:pPr>
            <w:r w:rsidRPr="00A71436">
              <w:rPr>
                <w:color w:val="auto"/>
              </w:rPr>
              <w:t>Turnover Intention</w:t>
            </w:r>
          </w:p>
        </w:tc>
        <w:tc>
          <w:tcPr>
            <w:tcW w:w="3005" w:type="dxa"/>
            <w:tcBorders>
              <w:top w:val="nil"/>
              <w:bottom w:val="single" w:sz="4" w:space="0" w:color="auto"/>
            </w:tcBorders>
          </w:tcPr>
          <w:p w14:paraId="05249BA1" w14:textId="77777777" w:rsidR="00590FB7" w:rsidRPr="00A71436" w:rsidRDefault="00590FB7" w:rsidP="00F52F24">
            <w:pPr>
              <w:spacing w:before="120" w:after="120" w:line="276" w:lineRule="auto"/>
              <w:ind w:firstLine="0"/>
              <w:jc w:val="center"/>
              <w:rPr>
                <w:color w:val="auto"/>
              </w:rPr>
            </w:pPr>
            <w:r w:rsidRPr="00A71436">
              <w:rPr>
                <w:color w:val="auto"/>
              </w:rPr>
              <w:t>0,857</w:t>
            </w:r>
          </w:p>
        </w:tc>
        <w:tc>
          <w:tcPr>
            <w:tcW w:w="3006" w:type="dxa"/>
            <w:tcBorders>
              <w:top w:val="nil"/>
              <w:bottom w:val="single" w:sz="4" w:space="0" w:color="auto"/>
            </w:tcBorders>
          </w:tcPr>
          <w:p w14:paraId="68731327" w14:textId="77777777" w:rsidR="00590FB7" w:rsidRPr="00A71436" w:rsidRDefault="00590FB7" w:rsidP="00F52F24">
            <w:pPr>
              <w:spacing w:before="120" w:after="120" w:line="276" w:lineRule="auto"/>
              <w:ind w:firstLine="0"/>
              <w:jc w:val="center"/>
              <w:rPr>
                <w:color w:val="auto"/>
              </w:rPr>
            </w:pPr>
            <w:r w:rsidRPr="00A71436">
              <w:rPr>
                <w:color w:val="auto"/>
              </w:rPr>
              <w:t>Reliabel</w:t>
            </w:r>
          </w:p>
        </w:tc>
      </w:tr>
    </w:tbl>
    <w:p w14:paraId="5E4B14E0" w14:textId="77777777" w:rsidR="00590FB7" w:rsidRPr="00A71436" w:rsidRDefault="00590FB7" w:rsidP="00590FB7">
      <w:pPr>
        <w:spacing w:before="120" w:after="120" w:line="276" w:lineRule="auto"/>
        <w:ind w:firstLine="0"/>
        <w:rPr>
          <w:i/>
          <w:iCs/>
          <w:color w:val="auto"/>
        </w:rPr>
      </w:pPr>
      <w:r w:rsidRPr="00A71436">
        <w:rPr>
          <w:i/>
          <w:iCs/>
          <w:color w:val="auto"/>
        </w:rPr>
        <w:t>Sumber: Hasil Pengolahan SPSS, 2023</w:t>
      </w:r>
    </w:p>
    <w:p w14:paraId="5303D691" w14:textId="77777777" w:rsidR="00637E37" w:rsidRDefault="00637E37" w:rsidP="00590FB7">
      <w:pPr>
        <w:spacing w:after="0" w:line="276" w:lineRule="auto"/>
        <w:ind w:firstLine="0"/>
        <w:rPr>
          <w:szCs w:val="24"/>
        </w:rPr>
      </w:pPr>
    </w:p>
    <w:p w14:paraId="55421D63" w14:textId="77777777" w:rsidR="00590FB7" w:rsidRPr="00637E37" w:rsidRDefault="00590FB7" w:rsidP="00590FB7">
      <w:pPr>
        <w:spacing w:after="0" w:line="276" w:lineRule="auto"/>
        <w:ind w:firstLine="0"/>
        <w:rPr>
          <w:b/>
          <w:szCs w:val="24"/>
        </w:rPr>
      </w:pPr>
      <w:r w:rsidRPr="00637E37">
        <w:rPr>
          <w:b/>
          <w:szCs w:val="24"/>
        </w:rPr>
        <w:t>Pengaruh Employer Branding terhadap Turnover Intention</w:t>
      </w:r>
    </w:p>
    <w:p w14:paraId="646E54FA" w14:textId="77777777" w:rsidR="00590FB7" w:rsidRPr="00590FB7" w:rsidRDefault="00590FB7" w:rsidP="00637E37">
      <w:pPr>
        <w:spacing w:after="0" w:line="276" w:lineRule="auto"/>
        <w:ind w:firstLine="720"/>
        <w:rPr>
          <w:szCs w:val="24"/>
        </w:rPr>
      </w:pPr>
      <w:r w:rsidRPr="00590FB7">
        <w:rPr>
          <w:szCs w:val="24"/>
        </w:rPr>
        <w:t xml:space="preserve">Hasil uji analisis jalur menunjukkan bahwa Beta untuk pengaruh employer branding (X) terhadap turnover intention (Y) adalah sebesar 0,251 dengan arah negatif dengan nilai sig. </w:t>
      </w:r>
      <w:r w:rsidRPr="00590FB7">
        <w:rPr>
          <w:szCs w:val="24"/>
        </w:rPr>
        <w:lastRenderedPageBreak/>
        <w:t>= 0,248 &gt; α = 0</w:t>
      </w:r>
      <w:proofErr w:type="gramStart"/>
      <w:r w:rsidRPr="00590FB7">
        <w:rPr>
          <w:szCs w:val="24"/>
        </w:rPr>
        <w:t>,05</w:t>
      </w:r>
      <w:proofErr w:type="gramEnd"/>
      <w:r w:rsidRPr="00590FB7">
        <w:rPr>
          <w:szCs w:val="24"/>
        </w:rPr>
        <w:t xml:space="preserve">. Hal ini menunjukkan bahwa apabila employer branding (X) memiliki pengaruh negatif dan tidak signifikan terhadap turnover intention (Y), sehingga apabila terjadi peningkatan employer branding maka turnover intention </w:t>
      </w:r>
      <w:proofErr w:type="gramStart"/>
      <w:r w:rsidRPr="00590FB7">
        <w:rPr>
          <w:szCs w:val="24"/>
        </w:rPr>
        <w:t>akan</w:t>
      </w:r>
      <w:proofErr w:type="gramEnd"/>
      <w:r w:rsidRPr="00590FB7">
        <w:rPr>
          <w:szCs w:val="24"/>
        </w:rPr>
        <w:t xml:space="preserve"> mengalami penurunan. </w:t>
      </w:r>
      <w:proofErr w:type="gramStart"/>
      <w:r w:rsidRPr="00590FB7">
        <w:rPr>
          <w:szCs w:val="24"/>
        </w:rPr>
        <w:t>Berdasarkan skor tertinggi dari responden di XYZ Headhunter menyatakan bahwa karyawan merasa keseimbangan antara kehidupan kerja dengan kehidupan pribadi tercukupi (work-life balance).</w:t>
      </w:r>
      <w:proofErr w:type="gramEnd"/>
      <w:r w:rsidRPr="00590FB7">
        <w:rPr>
          <w:szCs w:val="24"/>
        </w:rPr>
        <w:t xml:space="preserve"> </w:t>
      </w:r>
    </w:p>
    <w:p w14:paraId="77BED7E1" w14:textId="77777777" w:rsidR="00590FB7" w:rsidRPr="00590FB7" w:rsidRDefault="00590FB7" w:rsidP="00637E37">
      <w:pPr>
        <w:spacing w:after="0" w:line="276" w:lineRule="auto"/>
        <w:ind w:firstLine="720"/>
        <w:rPr>
          <w:szCs w:val="24"/>
        </w:rPr>
      </w:pPr>
      <w:r w:rsidRPr="00590FB7">
        <w:rPr>
          <w:szCs w:val="24"/>
        </w:rPr>
        <w:t xml:space="preserve">Hasil penelitian ini mendukung studi yang telah dilakukan oleh (Laura, 2021) yang menyatakan bahwa employer branding tidak menjadi pertimbangan yang utama bagi seorang karyawan yang ingin keluar dari perusahaan karena perusahaan sudah memberikan strategi employer branding yang baik namun ada faktor lain yang dapat mempengaruhi seorang karyawan keluar dari perusahaan. </w:t>
      </w:r>
      <w:proofErr w:type="gramStart"/>
      <w:r w:rsidRPr="00590FB7">
        <w:rPr>
          <w:szCs w:val="24"/>
        </w:rPr>
        <w:t>Hal ini berarti manfaat dari employer branding XYZ berhasil dalam menekan angka kecenderungan karyawan untuk berhenti dari perusahaan meskipun tidak signifikan.</w:t>
      </w:r>
      <w:proofErr w:type="gramEnd"/>
    </w:p>
    <w:p w14:paraId="6F6CC381" w14:textId="77777777" w:rsidR="00590FB7" w:rsidRPr="00637E37" w:rsidRDefault="00590FB7" w:rsidP="00590FB7">
      <w:pPr>
        <w:spacing w:after="0" w:line="276" w:lineRule="auto"/>
        <w:ind w:firstLine="0"/>
        <w:rPr>
          <w:b/>
          <w:szCs w:val="24"/>
        </w:rPr>
      </w:pPr>
      <w:r w:rsidRPr="00637E37">
        <w:rPr>
          <w:b/>
          <w:szCs w:val="24"/>
        </w:rPr>
        <w:t>Pengaruh Employer Branding terhadap Employee Engagement</w:t>
      </w:r>
    </w:p>
    <w:p w14:paraId="3A9513F0" w14:textId="77777777" w:rsidR="00590FB7" w:rsidRPr="00590FB7" w:rsidRDefault="00590FB7" w:rsidP="00637E37">
      <w:pPr>
        <w:spacing w:after="0" w:line="276" w:lineRule="auto"/>
        <w:ind w:firstLine="720"/>
        <w:rPr>
          <w:szCs w:val="24"/>
        </w:rPr>
      </w:pPr>
      <w:r w:rsidRPr="00590FB7">
        <w:rPr>
          <w:szCs w:val="24"/>
        </w:rPr>
        <w:t>Hasil uji analisis jalur menunjukkan bahwa Beta untuk pengaruh employer branding (X) terhadap employee engagement (Z) adalah sebesar 0,683 dengan arah positif dengan nilai sig. = &lt;0,001 &lt; α = 0</w:t>
      </w:r>
      <w:proofErr w:type="gramStart"/>
      <w:r w:rsidRPr="00590FB7">
        <w:rPr>
          <w:szCs w:val="24"/>
        </w:rPr>
        <w:t>,05</w:t>
      </w:r>
      <w:proofErr w:type="gramEnd"/>
      <w:r w:rsidRPr="00590FB7">
        <w:rPr>
          <w:szCs w:val="24"/>
        </w:rPr>
        <w:t xml:space="preserve">. Hal ini menunjukkan bahwa apabila employer branding (X) memiliki pengaruh positif dan signifikan terhadap employee engagement (Z), sehingga apabila terjadi peningkatan employer branding maka employee engagement </w:t>
      </w:r>
      <w:proofErr w:type="gramStart"/>
      <w:r w:rsidRPr="00590FB7">
        <w:rPr>
          <w:szCs w:val="24"/>
        </w:rPr>
        <w:t>akan</w:t>
      </w:r>
      <w:proofErr w:type="gramEnd"/>
      <w:r w:rsidRPr="00590FB7">
        <w:rPr>
          <w:szCs w:val="24"/>
        </w:rPr>
        <w:t xml:space="preserve"> mengalami peningkatan (Rachman &amp; Dewanto, 2016). </w:t>
      </w:r>
      <w:proofErr w:type="gramStart"/>
      <w:r w:rsidRPr="00590FB7">
        <w:rPr>
          <w:szCs w:val="24"/>
        </w:rPr>
        <w:t>Berdasarkan skor tertinggi dari responden di XYZ Headhunter menyatakan bahwa sebagian besar karyawan merasa keseimbangan antara kehidupan pekerjaan dan kehidupan pribadi terjaga atau yang biasa disebut dengan work-life balance.</w:t>
      </w:r>
      <w:proofErr w:type="gramEnd"/>
      <w:r w:rsidRPr="00590FB7">
        <w:rPr>
          <w:szCs w:val="24"/>
        </w:rPr>
        <w:t xml:space="preserve"> </w:t>
      </w:r>
      <w:proofErr w:type="gramStart"/>
      <w:r w:rsidRPr="00590FB7">
        <w:rPr>
          <w:szCs w:val="24"/>
        </w:rPr>
        <w:t>Selain itu, mayoritas responden setuju dengan perntataan salah satu indikator dari employee engagement yang menyatakan bahwa para top manager selalu berkomunikasi dengan baik dengan para karyawan.</w:t>
      </w:r>
      <w:proofErr w:type="gramEnd"/>
    </w:p>
    <w:p w14:paraId="042AC392" w14:textId="77777777" w:rsidR="00590FB7" w:rsidRPr="00590FB7" w:rsidRDefault="00590FB7" w:rsidP="00637E37">
      <w:pPr>
        <w:spacing w:after="0" w:line="276" w:lineRule="auto"/>
        <w:ind w:firstLine="720"/>
        <w:rPr>
          <w:szCs w:val="24"/>
        </w:rPr>
      </w:pPr>
      <w:r w:rsidRPr="00590FB7">
        <w:rPr>
          <w:szCs w:val="24"/>
        </w:rPr>
        <w:t>Hasil penelitian ini mendukung studi yang telah dilakukan oleh (Marthinus, 2020) yang menyatakan bahwa variabel employer branding memiliki pengaruh terhadap employee engagement di mana pada penelitian tersebut membuktikan bahwa engagement karyawan akan meningkat ketika employer branding pada karyawan divisi marketing PT. XYZ cabang Surabaya juga meningkat. Hal ini berarti manfaat dari employer branding XYZ Headhunter berhasil dalam meningatkan angka engaged karyawan di organisasi.</w:t>
      </w:r>
    </w:p>
    <w:p w14:paraId="779D624C" w14:textId="77777777" w:rsidR="00590FB7" w:rsidRPr="00637E37" w:rsidRDefault="00590FB7" w:rsidP="00590FB7">
      <w:pPr>
        <w:spacing w:after="0" w:line="276" w:lineRule="auto"/>
        <w:ind w:firstLine="0"/>
        <w:rPr>
          <w:b/>
          <w:szCs w:val="24"/>
        </w:rPr>
      </w:pPr>
      <w:r w:rsidRPr="00637E37">
        <w:rPr>
          <w:b/>
          <w:szCs w:val="24"/>
        </w:rPr>
        <w:t>Pengaruh Employee Engagement terhadap Turnover Intent ion</w:t>
      </w:r>
    </w:p>
    <w:p w14:paraId="6BD0E888" w14:textId="77777777" w:rsidR="00590FB7" w:rsidRPr="00590FB7" w:rsidRDefault="00590FB7" w:rsidP="00637E37">
      <w:pPr>
        <w:spacing w:after="0" w:line="276" w:lineRule="auto"/>
        <w:ind w:firstLine="720"/>
        <w:rPr>
          <w:szCs w:val="24"/>
        </w:rPr>
      </w:pPr>
      <w:r w:rsidRPr="00590FB7">
        <w:rPr>
          <w:szCs w:val="24"/>
        </w:rPr>
        <w:t>Hasil uji analisis jalur menunjukkan bahwa Beta untuk pengaruh employee engagement (Z) terhadap turnover intention (Y) adalah sebesar 0,251 dengan arah negatif dengan nilai sig. = 0,210 &gt; α = 0</w:t>
      </w:r>
      <w:proofErr w:type="gramStart"/>
      <w:r w:rsidRPr="00590FB7">
        <w:rPr>
          <w:szCs w:val="24"/>
        </w:rPr>
        <w:t>,05</w:t>
      </w:r>
      <w:proofErr w:type="gramEnd"/>
      <w:r w:rsidRPr="00590FB7">
        <w:rPr>
          <w:szCs w:val="24"/>
        </w:rPr>
        <w:t xml:space="preserve">. Hal ini menunjukkan bahwa apabila employee engagement (Z) memiliki pengaruh negatif dan tidak signifikan terhadap turnover intention (Y), maka apabila terjadi peningkatan employee engagement maka turnover intention </w:t>
      </w:r>
      <w:proofErr w:type="gramStart"/>
      <w:r w:rsidRPr="00590FB7">
        <w:rPr>
          <w:szCs w:val="24"/>
        </w:rPr>
        <w:t>akan</w:t>
      </w:r>
      <w:proofErr w:type="gramEnd"/>
      <w:r w:rsidRPr="00590FB7">
        <w:rPr>
          <w:szCs w:val="24"/>
        </w:rPr>
        <w:t xml:space="preserve"> mengalami penurunan. </w:t>
      </w:r>
      <w:proofErr w:type="gramStart"/>
      <w:r w:rsidRPr="00590FB7">
        <w:rPr>
          <w:szCs w:val="24"/>
        </w:rPr>
        <w:t>Berdasarkan skor tertinggi dari responden di XYZ Headhunter menyatakan bahwa sebagian besar karyawan merasa komunikasi para Top Manager XYZ Headhunter dengan karyawan sesuai dengan yang diharapkan oleh karyawan.</w:t>
      </w:r>
      <w:proofErr w:type="gramEnd"/>
      <w:r w:rsidRPr="00590FB7">
        <w:rPr>
          <w:szCs w:val="24"/>
        </w:rPr>
        <w:t xml:space="preserve"> </w:t>
      </w:r>
    </w:p>
    <w:p w14:paraId="48758B0A" w14:textId="77777777" w:rsidR="00590FB7" w:rsidRPr="00590FB7" w:rsidRDefault="00590FB7" w:rsidP="00637E37">
      <w:pPr>
        <w:spacing w:after="0" w:line="276" w:lineRule="auto"/>
        <w:ind w:firstLine="720"/>
        <w:rPr>
          <w:szCs w:val="24"/>
        </w:rPr>
      </w:pPr>
      <w:r w:rsidRPr="00590FB7">
        <w:rPr>
          <w:szCs w:val="24"/>
        </w:rPr>
        <w:t xml:space="preserve">Hasil penelitian ini mendukung studi yang telah dilakukan (Fauzia, 2020) mengatakan bahwa di mana ketika karyawan engaged dengan perusahaan, kemungkinan karyawan untuk keluar dari perusahaan </w:t>
      </w:r>
      <w:proofErr w:type="gramStart"/>
      <w:r w:rsidRPr="00590FB7">
        <w:rPr>
          <w:szCs w:val="24"/>
        </w:rPr>
        <w:t>akan</w:t>
      </w:r>
      <w:proofErr w:type="gramEnd"/>
      <w:r w:rsidRPr="00590FB7">
        <w:rPr>
          <w:szCs w:val="24"/>
        </w:rPr>
        <w:t xml:space="preserve"> kecil. </w:t>
      </w:r>
      <w:proofErr w:type="gramStart"/>
      <w:r w:rsidRPr="00590FB7">
        <w:rPr>
          <w:szCs w:val="24"/>
        </w:rPr>
        <w:t>Hal ini berarti manfaat dari employee engagement XYZ berhasil dalam menekan angka kecenderungan karyawan untuk berhenti dari perusahaan meskipun tidak signifikan.</w:t>
      </w:r>
      <w:proofErr w:type="gramEnd"/>
      <w:r w:rsidRPr="00590FB7">
        <w:rPr>
          <w:szCs w:val="24"/>
        </w:rPr>
        <w:t xml:space="preserve"> </w:t>
      </w:r>
    </w:p>
    <w:p w14:paraId="6063CC2F" w14:textId="77777777" w:rsidR="00590FB7" w:rsidRPr="00637E37" w:rsidRDefault="00590FB7" w:rsidP="00590FB7">
      <w:pPr>
        <w:spacing w:after="0" w:line="276" w:lineRule="auto"/>
        <w:ind w:firstLine="0"/>
        <w:rPr>
          <w:b/>
          <w:szCs w:val="24"/>
        </w:rPr>
      </w:pPr>
      <w:r w:rsidRPr="00637E37">
        <w:rPr>
          <w:b/>
          <w:szCs w:val="24"/>
        </w:rPr>
        <w:lastRenderedPageBreak/>
        <w:t>Employee Engagement sebagai Variabel Intervening dalam Hubungan Employer Branding terhadap Turnover Intention</w:t>
      </w:r>
    </w:p>
    <w:p w14:paraId="6F9D00D6" w14:textId="77777777" w:rsidR="00590FB7" w:rsidRPr="00590FB7" w:rsidRDefault="00590FB7" w:rsidP="00637E37">
      <w:pPr>
        <w:spacing w:after="0" w:line="276" w:lineRule="auto"/>
        <w:ind w:firstLine="720"/>
        <w:rPr>
          <w:szCs w:val="24"/>
        </w:rPr>
      </w:pPr>
      <w:r w:rsidRPr="00590FB7">
        <w:rPr>
          <w:szCs w:val="24"/>
        </w:rPr>
        <w:t xml:space="preserve">Hasil uji sobel menunjukkan bahwa Tes Statistic dalam penelitian ini 0,463 dengan arah negatif P-value yang tinggi (0,643 &gt; 0,005), maka mediasi employee engagement dalam hubungan antara employer branding terhadap turnover intention adalah tidak berpengaruh. </w:t>
      </w:r>
      <w:proofErr w:type="gramStart"/>
      <w:r w:rsidRPr="00590FB7">
        <w:rPr>
          <w:szCs w:val="24"/>
        </w:rPr>
        <w:t>Hasil uji tersebut menunjukkan bahwa variabel employee engagement (Z) tidak memediasi employer branding (X) terhadap turnover intention (Y) di XYZ Headhunter.</w:t>
      </w:r>
      <w:proofErr w:type="gramEnd"/>
    </w:p>
    <w:p w14:paraId="34169CC9" w14:textId="77777777" w:rsidR="00590FB7" w:rsidRDefault="00590FB7" w:rsidP="00637E37">
      <w:pPr>
        <w:spacing w:after="0" w:line="276" w:lineRule="auto"/>
        <w:ind w:firstLine="720"/>
        <w:rPr>
          <w:szCs w:val="24"/>
        </w:rPr>
      </w:pPr>
      <w:r w:rsidRPr="00590FB7">
        <w:rPr>
          <w:szCs w:val="24"/>
        </w:rPr>
        <w:t xml:space="preserve">Berdasarkan hasil penelitian yang telah dilakukan, dapat disimpulkan bahwa variabel employer branding tidak memiliki pengaruh yang signifikan terhadap turnover intention, baik secara langsung maupun tidak langsung, sehingga variabel employee engagement tidak dapat dikatakan memediasi hubungan antara employer branding dengan turnover intention. </w:t>
      </w:r>
      <w:proofErr w:type="gramStart"/>
      <w:r w:rsidRPr="00590FB7">
        <w:rPr>
          <w:szCs w:val="24"/>
        </w:rPr>
        <w:t>Ada beberapa kemungkinan penjelasan mengapa variabel employee engagement tidak dapat memediasi hubungan antara employer branding dan turnover intention.</w:t>
      </w:r>
      <w:proofErr w:type="gramEnd"/>
      <w:r w:rsidRPr="00590FB7">
        <w:rPr>
          <w:szCs w:val="24"/>
        </w:rPr>
        <w:t xml:space="preserve"> </w:t>
      </w:r>
      <w:proofErr w:type="gramStart"/>
      <w:r w:rsidRPr="00590FB7">
        <w:rPr>
          <w:szCs w:val="24"/>
        </w:rPr>
        <w:t>Variabel employee engagement mungkin bukan variabel yang relevan untuk menjadi variabel mediasi untuk employer branding dengan turnover intention (Belete, 2018).</w:t>
      </w:r>
      <w:proofErr w:type="gramEnd"/>
      <w:r w:rsidRPr="00590FB7">
        <w:rPr>
          <w:szCs w:val="24"/>
        </w:rPr>
        <w:t xml:space="preserve"> Mungkin ada variabel </w:t>
      </w:r>
      <w:proofErr w:type="gramStart"/>
      <w:r w:rsidRPr="00590FB7">
        <w:rPr>
          <w:szCs w:val="24"/>
        </w:rPr>
        <w:t>lain</w:t>
      </w:r>
      <w:proofErr w:type="gramEnd"/>
      <w:r w:rsidRPr="00590FB7">
        <w:rPr>
          <w:szCs w:val="24"/>
        </w:rPr>
        <w:t xml:space="preserve"> yang lebih penting, seperti gaji, kesempatan untuk berkembang, atau keseimbangan kerja-hidup pribadi, namun memerlukan penelitian lebih lanjut agar mendapatkan simpulan yang pasti mengenai hal ini.</w:t>
      </w:r>
    </w:p>
    <w:p w14:paraId="7EC906CC" w14:textId="77777777" w:rsidR="00590FB7" w:rsidRDefault="00590FB7" w:rsidP="00590FB7">
      <w:pPr>
        <w:spacing w:after="0" w:line="276" w:lineRule="auto"/>
        <w:ind w:firstLine="0"/>
        <w:rPr>
          <w:szCs w:val="24"/>
        </w:rPr>
      </w:pPr>
    </w:p>
    <w:p w14:paraId="54C8A621" w14:textId="2AAB0AC6" w:rsidR="00590FB7" w:rsidRPr="00590FB7" w:rsidRDefault="00590FB7" w:rsidP="00590FB7">
      <w:pPr>
        <w:spacing w:after="0" w:line="276" w:lineRule="auto"/>
        <w:ind w:firstLine="0"/>
        <w:rPr>
          <w:b/>
          <w:szCs w:val="24"/>
        </w:rPr>
      </w:pPr>
      <w:r w:rsidRPr="00590FB7">
        <w:rPr>
          <w:b/>
          <w:szCs w:val="24"/>
        </w:rPr>
        <w:t>KESIMPULAN</w:t>
      </w:r>
    </w:p>
    <w:p w14:paraId="41F90D14" w14:textId="77777777" w:rsidR="00590FB7" w:rsidRPr="00590FB7" w:rsidRDefault="00590FB7" w:rsidP="00590FB7">
      <w:pPr>
        <w:spacing w:after="0"/>
        <w:rPr>
          <w:szCs w:val="24"/>
        </w:rPr>
      </w:pPr>
      <w:r w:rsidRPr="00590FB7">
        <w:rPr>
          <w:szCs w:val="24"/>
        </w:rPr>
        <w:t>Kesimpulan dari penelitian ini yang telah dilakukan pada karyawan XYZ Headhunter adalah employer branding tidak berpengaruh terhadap turnover intention karyawan XYZ Headhunter, employer branding berpengaruh positif dan signifikan terhadap employee engagement karyawan XYZ Headhunter, variabel employee engagement tidak berpengaruh terhadap turnover intention karyawan XYZ Headhunter, dan Variabel employee engagement tidak terbukti berpengaruh sebagai variabel mediasi dalam hubungan antara employer branding dengan turnover intention di XYZ Headhunter.</w:t>
      </w:r>
    </w:p>
    <w:p w14:paraId="47581204" w14:textId="0A77A2BE" w:rsidR="00E67FEB" w:rsidRDefault="00590FB7" w:rsidP="00590FB7">
      <w:pPr>
        <w:spacing w:after="0"/>
        <w:rPr>
          <w:szCs w:val="24"/>
        </w:rPr>
      </w:pPr>
      <w:r w:rsidRPr="00590FB7">
        <w:rPr>
          <w:szCs w:val="24"/>
        </w:rPr>
        <w:t>Saran yang dapat diberikan kepada peneliti selanjutnya berdasarkan hasil penelitian ini adalah secara statistik hasil penelitian ini dapat dikatakan cukup unik, dimana variabel yang menunjukkan hasil yang signifikan hanya pengaruh variabel employer branding terhadap employee engagement, ketiga variabel lainnya tidak berpengaruh secara signifikan, sehingga bagi peneliti selanjutnya penelitian ini dapat dilakukan kembali terkait variabel turnover intention dengan menggunakan variabel-variabel lain diluar variabel yang telah dimasukkan ke dalam penelitian ini.</w:t>
      </w:r>
    </w:p>
    <w:p w14:paraId="0116BB25" w14:textId="77777777" w:rsidR="00590FB7" w:rsidRDefault="00590FB7" w:rsidP="00590FB7">
      <w:pPr>
        <w:spacing w:after="0"/>
        <w:rPr>
          <w:szCs w:val="24"/>
        </w:rPr>
      </w:pPr>
    </w:p>
    <w:p w14:paraId="601637A8" w14:textId="77777777" w:rsidR="00590FB7" w:rsidRDefault="00590FB7" w:rsidP="00590FB7">
      <w:pPr>
        <w:spacing w:after="0"/>
        <w:rPr>
          <w:szCs w:val="24"/>
        </w:rPr>
      </w:pPr>
    </w:p>
    <w:p w14:paraId="4F62113B" w14:textId="77777777" w:rsidR="00590FB7" w:rsidRDefault="00590FB7" w:rsidP="00590FB7">
      <w:pPr>
        <w:spacing w:after="0"/>
        <w:rPr>
          <w:szCs w:val="24"/>
        </w:rPr>
      </w:pPr>
    </w:p>
    <w:p w14:paraId="003BEAA4" w14:textId="77777777" w:rsidR="00590FB7" w:rsidRDefault="00590FB7" w:rsidP="00590FB7">
      <w:pPr>
        <w:spacing w:after="0"/>
        <w:rPr>
          <w:szCs w:val="24"/>
        </w:rPr>
      </w:pPr>
    </w:p>
    <w:p w14:paraId="15A53FC4" w14:textId="77777777" w:rsidR="00590FB7" w:rsidRDefault="00590FB7" w:rsidP="00590FB7">
      <w:pPr>
        <w:spacing w:after="0"/>
        <w:rPr>
          <w:szCs w:val="24"/>
        </w:rPr>
      </w:pPr>
    </w:p>
    <w:p w14:paraId="7F8BFFCB" w14:textId="77777777" w:rsidR="00590FB7" w:rsidRDefault="00590FB7" w:rsidP="00590FB7">
      <w:pPr>
        <w:spacing w:after="0"/>
        <w:rPr>
          <w:szCs w:val="24"/>
        </w:rPr>
      </w:pPr>
    </w:p>
    <w:p w14:paraId="38E102CB" w14:textId="77777777" w:rsidR="00590FB7" w:rsidRDefault="00590FB7" w:rsidP="00590FB7">
      <w:pPr>
        <w:spacing w:after="0"/>
        <w:rPr>
          <w:szCs w:val="24"/>
        </w:rPr>
      </w:pPr>
    </w:p>
    <w:p w14:paraId="2B34EEF4" w14:textId="77777777" w:rsidR="00590FB7" w:rsidRDefault="00590FB7" w:rsidP="00590FB7">
      <w:pPr>
        <w:spacing w:after="0"/>
        <w:rPr>
          <w:szCs w:val="24"/>
        </w:rPr>
      </w:pPr>
    </w:p>
    <w:p w14:paraId="28BFCBE0" w14:textId="77777777" w:rsidR="00590FB7" w:rsidRDefault="00590FB7" w:rsidP="00590FB7">
      <w:pPr>
        <w:spacing w:after="0"/>
        <w:rPr>
          <w:szCs w:val="24"/>
        </w:rPr>
      </w:pPr>
    </w:p>
    <w:p w14:paraId="60FD23EB" w14:textId="77777777" w:rsidR="00590FB7" w:rsidRDefault="00590FB7" w:rsidP="00590FB7">
      <w:pPr>
        <w:spacing w:after="0"/>
        <w:rPr>
          <w:szCs w:val="24"/>
        </w:rPr>
      </w:pPr>
    </w:p>
    <w:p w14:paraId="6A57DC83" w14:textId="77777777" w:rsidR="00590FB7" w:rsidRDefault="00590FB7" w:rsidP="00590FB7">
      <w:pPr>
        <w:spacing w:after="0"/>
        <w:rPr>
          <w:szCs w:val="24"/>
        </w:rPr>
      </w:pPr>
    </w:p>
    <w:p w14:paraId="13594355" w14:textId="77777777" w:rsidR="00637E37" w:rsidRDefault="00637E37" w:rsidP="00590FB7">
      <w:pPr>
        <w:spacing w:after="0"/>
        <w:rPr>
          <w:szCs w:val="24"/>
        </w:rPr>
      </w:pPr>
    </w:p>
    <w:p w14:paraId="6278C242" w14:textId="77777777" w:rsidR="00637E37" w:rsidRDefault="00637E37" w:rsidP="00590FB7">
      <w:pPr>
        <w:spacing w:after="0"/>
        <w:rPr>
          <w:szCs w:val="24"/>
        </w:rPr>
      </w:pPr>
    </w:p>
    <w:p w14:paraId="47B38E3E" w14:textId="77777777" w:rsidR="00590FB7" w:rsidRPr="00590FB7" w:rsidRDefault="00590FB7" w:rsidP="00590FB7">
      <w:pPr>
        <w:spacing w:after="0"/>
        <w:rPr>
          <w:color w:val="auto"/>
          <w:lang w:val="en-ID"/>
        </w:rPr>
      </w:pPr>
    </w:p>
    <w:p w14:paraId="7E35AF25" w14:textId="5203EA97" w:rsidR="00E354B2" w:rsidRDefault="00637E37" w:rsidP="00656942">
      <w:pPr>
        <w:spacing w:line="276" w:lineRule="auto"/>
        <w:ind w:right="37" w:firstLine="0"/>
        <w:rPr>
          <w:b/>
          <w:bCs/>
          <w:lang w:val="en-ID"/>
        </w:rPr>
      </w:pPr>
      <w:bookmarkStart w:id="1" w:name="_DAFTAR_PUSTAKA"/>
      <w:bookmarkEnd w:id="1"/>
      <w:r>
        <w:rPr>
          <w:b/>
          <w:bCs/>
          <w:lang w:val="en-ID"/>
        </w:rPr>
        <w:lastRenderedPageBreak/>
        <w:t>DAFTAR PUSTAKA</w:t>
      </w:r>
    </w:p>
    <w:p w14:paraId="6F715F2D" w14:textId="77777777" w:rsidR="003E5BF5" w:rsidRPr="00687114" w:rsidRDefault="003E5BF5" w:rsidP="00656942">
      <w:pPr>
        <w:spacing w:line="276" w:lineRule="auto"/>
        <w:ind w:right="37" w:firstLine="0"/>
        <w:rPr>
          <w:b/>
          <w:bCs/>
          <w:lang w:val="en-ID"/>
        </w:rPr>
      </w:pPr>
    </w:p>
    <w:p w14:paraId="43FDBF36" w14:textId="77777777" w:rsidR="00590FB7" w:rsidRDefault="00590FB7" w:rsidP="00590FB7">
      <w:pPr>
        <w:widowControl w:val="0"/>
        <w:autoSpaceDE w:val="0"/>
        <w:autoSpaceDN w:val="0"/>
        <w:adjustRightInd w:val="0"/>
        <w:spacing w:after="0" w:line="276" w:lineRule="auto"/>
        <w:ind w:left="480" w:hanging="480"/>
        <w:rPr>
          <w:noProof/>
          <w:szCs w:val="24"/>
        </w:rPr>
      </w:pPr>
      <w:r>
        <w:rPr>
          <w:color w:val="auto"/>
        </w:rPr>
        <w:fldChar w:fldCharType="begin" w:fldLock="1"/>
      </w:r>
      <w:r>
        <w:rPr>
          <w:color w:val="auto"/>
        </w:rPr>
        <w:instrText xml:space="preserve">ADDIN Mendeley Bibliography CSL_BIBLIOGRAPHY </w:instrText>
      </w:r>
      <w:r>
        <w:rPr>
          <w:color w:val="auto"/>
        </w:rPr>
        <w:fldChar w:fldCharType="separate"/>
      </w:r>
      <w:r w:rsidRPr="00D23E04">
        <w:rPr>
          <w:noProof/>
          <w:szCs w:val="24"/>
        </w:rPr>
        <w:t xml:space="preserve">Ahmad, Nor Adibah, &amp; Daud, Salina. (2016). Engaging people with employer branding. </w:t>
      </w:r>
      <w:r w:rsidRPr="00D23E04">
        <w:rPr>
          <w:i/>
          <w:iCs/>
          <w:noProof/>
          <w:szCs w:val="24"/>
        </w:rPr>
        <w:t>Procedia Economics and Finance</w:t>
      </w:r>
      <w:r w:rsidRPr="00D23E04">
        <w:rPr>
          <w:noProof/>
          <w:szCs w:val="24"/>
        </w:rPr>
        <w:t xml:space="preserve">, </w:t>
      </w:r>
      <w:r w:rsidRPr="00D23E04">
        <w:rPr>
          <w:i/>
          <w:iCs/>
          <w:noProof/>
          <w:szCs w:val="24"/>
        </w:rPr>
        <w:t>35</w:t>
      </w:r>
      <w:r w:rsidRPr="00D23E04">
        <w:rPr>
          <w:noProof/>
          <w:szCs w:val="24"/>
        </w:rPr>
        <w:t>, 690–698.</w:t>
      </w:r>
    </w:p>
    <w:p w14:paraId="554B5F40"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789D5D12"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Ambler, Tim, &amp; Barrow, Simon. (1996). The employer brand. </w:t>
      </w:r>
      <w:r w:rsidRPr="00D23E04">
        <w:rPr>
          <w:i/>
          <w:iCs/>
          <w:noProof/>
          <w:szCs w:val="24"/>
        </w:rPr>
        <w:t>Journal of Brand Management</w:t>
      </w:r>
      <w:r w:rsidRPr="00D23E04">
        <w:rPr>
          <w:noProof/>
          <w:szCs w:val="24"/>
        </w:rPr>
        <w:t xml:space="preserve">, </w:t>
      </w:r>
      <w:r w:rsidRPr="00D23E04">
        <w:rPr>
          <w:i/>
          <w:iCs/>
          <w:noProof/>
          <w:szCs w:val="24"/>
        </w:rPr>
        <w:t>4</w:t>
      </w:r>
      <w:r w:rsidRPr="00D23E04">
        <w:rPr>
          <w:noProof/>
          <w:szCs w:val="24"/>
        </w:rPr>
        <w:t>, 185–206.</w:t>
      </w:r>
    </w:p>
    <w:p w14:paraId="6A54CD31"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48086F4E"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Amelia, Reski Putri, &amp; Lukito, Hendra. (2020). Peran Mediasi Employee Engagement Pada Faktor-Faktor Yang Mempengaruhi Turnover Intention. </w:t>
      </w:r>
      <w:r w:rsidRPr="00D23E04">
        <w:rPr>
          <w:i/>
          <w:iCs/>
          <w:noProof/>
          <w:szCs w:val="24"/>
        </w:rPr>
        <w:t>Menara Ilmu</w:t>
      </w:r>
      <w:r w:rsidRPr="00D23E04">
        <w:rPr>
          <w:noProof/>
          <w:szCs w:val="24"/>
        </w:rPr>
        <w:t xml:space="preserve">, </w:t>
      </w:r>
      <w:r w:rsidRPr="00D23E04">
        <w:rPr>
          <w:i/>
          <w:iCs/>
          <w:noProof/>
          <w:szCs w:val="24"/>
        </w:rPr>
        <w:t>14</w:t>
      </w:r>
      <w:r w:rsidRPr="00D23E04">
        <w:rPr>
          <w:noProof/>
          <w:szCs w:val="24"/>
        </w:rPr>
        <w:t>(2).</w:t>
      </w:r>
    </w:p>
    <w:p w14:paraId="5250B74D"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06A2CF3E"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Anitha, Jagannathan. (2014). Determinants of employee engagement and their impact on employee performance. </w:t>
      </w:r>
      <w:r w:rsidRPr="00D23E04">
        <w:rPr>
          <w:i/>
          <w:iCs/>
          <w:noProof/>
          <w:szCs w:val="24"/>
        </w:rPr>
        <w:t>International Journal of Productivity and Performance Management</w:t>
      </w:r>
      <w:r w:rsidRPr="00D23E04">
        <w:rPr>
          <w:noProof/>
          <w:szCs w:val="24"/>
        </w:rPr>
        <w:t xml:space="preserve">, </w:t>
      </w:r>
      <w:r w:rsidRPr="00D23E04">
        <w:rPr>
          <w:i/>
          <w:iCs/>
          <w:noProof/>
          <w:szCs w:val="24"/>
        </w:rPr>
        <w:t>63</w:t>
      </w:r>
      <w:r w:rsidRPr="00D23E04">
        <w:rPr>
          <w:noProof/>
          <w:szCs w:val="24"/>
        </w:rPr>
        <w:t>(3), 308–323.</w:t>
      </w:r>
    </w:p>
    <w:p w14:paraId="7D94F164"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2EF53113"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Annur, C. (2019). Tingkat Karyawan Mengundurkan Diri di Perusahaan Startup Capai 25%. </w:t>
      </w:r>
      <w:r w:rsidRPr="00D23E04">
        <w:rPr>
          <w:i/>
          <w:iCs/>
          <w:noProof/>
          <w:szCs w:val="24"/>
        </w:rPr>
        <w:t>Katadata. Co. Id</w:t>
      </w:r>
      <w:r w:rsidRPr="00D23E04">
        <w:rPr>
          <w:noProof/>
          <w:szCs w:val="24"/>
        </w:rPr>
        <w:t>.</w:t>
      </w:r>
    </w:p>
    <w:p w14:paraId="55FD8329"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0F687E8C"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Belete, A. K. (2018). Turnover intention influencing factors of employees: An empirical work review. </w:t>
      </w:r>
      <w:r w:rsidRPr="00D23E04">
        <w:rPr>
          <w:i/>
          <w:iCs/>
          <w:noProof/>
          <w:szCs w:val="24"/>
        </w:rPr>
        <w:t>Journal of Entrepreneurship &amp; Organization Management</w:t>
      </w:r>
      <w:r w:rsidRPr="00D23E04">
        <w:rPr>
          <w:noProof/>
          <w:szCs w:val="24"/>
        </w:rPr>
        <w:t xml:space="preserve">, </w:t>
      </w:r>
      <w:r w:rsidRPr="00D23E04">
        <w:rPr>
          <w:i/>
          <w:iCs/>
          <w:noProof/>
          <w:szCs w:val="24"/>
        </w:rPr>
        <w:t>7</w:t>
      </w:r>
      <w:r w:rsidRPr="00D23E04">
        <w:rPr>
          <w:noProof/>
          <w:szCs w:val="24"/>
        </w:rPr>
        <w:t>(3), 1–7.</w:t>
      </w:r>
    </w:p>
    <w:p w14:paraId="799DA311" w14:textId="77777777" w:rsidR="00637E37" w:rsidRPr="00D23E04" w:rsidRDefault="00637E37" w:rsidP="00590FB7">
      <w:pPr>
        <w:widowControl w:val="0"/>
        <w:autoSpaceDE w:val="0"/>
        <w:autoSpaceDN w:val="0"/>
        <w:adjustRightInd w:val="0"/>
        <w:spacing w:after="0" w:line="276" w:lineRule="auto"/>
        <w:ind w:left="480" w:hanging="480"/>
        <w:rPr>
          <w:noProof/>
          <w:szCs w:val="24"/>
        </w:rPr>
      </w:pPr>
      <w:bookmarkStart w:id="2" w:name="_GoBack"/>
      <w:bookmarkEnd w:id="2"/>
    </w:p>
    <w:p w14:paraId="36CB6FC4"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Chrisdiana, Lita, &amp; Rahardjo, Mukti. (2017). Pengaruh employee engagement dan work life balance terhadap turn over intention di Generasi Millenial. </w:t>
      </w:r>
      <w:r w:rsidRPr="00D23E04">
        <w:rPr>
          <w:i/>
          <w:iCs/>
          <w:noProof/>
          <w:szCs w:val="24"/>
        </w:rPr>
        <w:t>Jurnal Manajemen Bisnis Dan Kewirausahaan</w:t>
      </w:r>
      <w:r w:rsidRPr="00D23E04">
        <w:rPr>
          <w:noProof/>
          <w:szCs w:val="24"/>
        </w:rPr>
        <w:t xml:space="preserve">, </w:t>
      </w:r>
      <w:r w:rsidRPr="00D23E04">
        <w:rPr>
          <w:i/>
          <w:iCs/>
          <w:noProof/>
          <w:szCs w:val="24"/>
        </w:rPr>
        <w:t>1</w:t>
      </w:r>
      <w:r w:rsidRPr="00D23E04">
        <w:rPr>
          <w:noProof/>
          <w:szCs w:val="24"/>
        </w:rPr>
        <w:t>(1), 1–7.</w:t>
      </w:r>
    </w:p>
    <w:p w14:paraId="2F85C7F3"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358B80CE"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Fauzia, Nida Kania. (2020). Pengaruh Employee Engagement terhadap Turnover Intention Studi Kasus PT XYZ Bandung. </w:t>
      </w:r>
      <w:r w:rsidRPr="00D23E04">
        <w:rPr>
          <w:i/>
          <w:iCs/>
          <w:noProof/>
          <w:szCs w:val="24"/>
        </w:rPr>
        <w:t>Jurnal Riset Bisnis Dan Investasi</w:t>
      </w:r>
      <w:r w:rsidRPr="00D23E04">
        <w:rPr>
          <w:noProof/>
          <w:szCs w:val="24"/>
        </w:rPr>
        <w:t xml:space="preserve">, </w:t>
      </w:r>
      <w:r w:rsidRPr="00D23E04">
        <w:rPr>
          <w:i/>
          <w:iCs/>
          <w:noProof/>
          <w:szCs w:val="24"/>
        </w:rPr>
        <w:t>6</w:t>
      </w:r>
      <w:r w:rsidRPr="00D23E04">
        <w:rPr>
          <w:noProof/>
          <w:szCs w:val="24"/>
        </w:rPr>
        <w:t>(1), 33–42.</w:t>
      </w:r>
    </w:p>
    <w:p w14:paraId="3A548A06"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43D92711"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Islamy, Fahmi Jahidah. (2018). Pengaruh Employee Engagement Terhadap Turnover Intention pada Dosen Tetap Sekolah Tinggi Ilmu Ekonomi Indonesia Membangun. </w:t>
      </w:r>
      <w:r w:rsidRPr="00D23E04">
        <w:rPr>
          <w:i/>
          <w:iCs/>
          <w:noProof/>
          <w:szCs w:val="24"/>
        </w:rPr>
        <w:t>Jurnal Indonesia Membangun</w:t>
      </w:r>
      <w:r w:rsidRPr="00D23E04">
        <w:rPr>
          <w:noProof/>
          <w:szCs w:val="24"/>
        </w:rPr>
        <w:t xml:space="preserve">, </w:t>
      </w:r>
      <w:r w:rsidRPr="00D23E04">
        <w:rPr>
          <w:i/>
          <w:iCs/>
          <w:noProof/>
          <w:szCs w:val="24"/>
        </w:rPr>
        <w:t>17</w:t>
      </w:r>
      <w:r w:rsidRPr="00D23E04">
        <w:rPr>
          <w:noProof/>
          <w:szCs w:val="24"/>
        </w:rPr>
        <w:t>(2), 1–17.</w:t>
      </w:r>
    </w:p>
    <w:p w14:paraId="583FCC5D"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7CBC94E8"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Jacobs, Everd, &amp; Roodt, Gert. (2007). The development of a knowledge sharing construct to predict turnover intentions. </w:t>
      </w:r>
      <w:r w:rsidRPr="00D23E04">
        <w:rPr>
          <w:i/>
          <w:iCs/>
          <w:noProof/>
          <w:szCs w:val="24"/>
        </w:rPr>
        <w:t>Aslib Proceedings</w:t>
      </w:r>
      <w:r w:rsidRPr="00D23E04">
        <w:rPr>
          <w:noProof/>
          <w:szCs w:val="24"/>
        </w:rPr>
        <w:t xml:space="preserve">, </w:t>
      </w:r>
      <w:r w:rsidRPr="00D23E04">
        <w:rPr>
          <w:i/>
          <w:iCs/>
          <w:noProof/>
          <w:szCs w:val="24"/>
        </w:rPr>
        <w:t>59</w:t>
      </w:r>
      <w:r w:rsidRPr="00D23E04">
        <w:rPr>
          <w:noProof/>
          <w:szCs w:val="24"/>
        </w:rPr>
        <w:t>(3), 229–248. Emerald Group Publishing Limited.</w:t>
      </w:r>
    </w:p>
    <w:p w14:paraId="228FF0DE"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69A99166"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Kristianto, Nico Ari, &amp; Handoyo, Seger. (2020). Pengaruh Employer Branding terhadap Employee Retention dengan Employee Engagement sebagai Mediator. </w:t>
      </w:r>
      <w:r w:rsidRPr="00D23E04">
        <w:rPr>
          <w:i/>
          <w:iCs/>
          <w:noProof/>
          <w:szCs w:val="24"/>
        </w:rPr>
        <w:t>Jurnal Psikologi: Media Ilmiah Psikologi</w:t>
      </w:r>
      <w:r w:rsidRPr="00D23E04">
        <w:rPr>
          <w:noProof/>
          <w:szCs w:val="24"/>
        </w:rPr>
        <w:t xml:space="preserve">, </w:t>
      </w:r>
      <w:r w:rsidRPr="00D23E04">
        <w:rPr>
          <w:i/>
          <w:iCs/>
          <w:noProof/>
          <w:szCs w:val="24"/>
        </w:rPr>
        <w:t>18</w:t>
      </w:r>
      <w:r w:rsidRPr="00D23E04">
        <w:rPr>
          <w:noProof/>
          <w:szCs w:val="24"/>
        </w:rPr>
        <w:t>(01).</w:t>
      </w:r>
    </w:p>
    <w:p w14:paraId="07182967"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293BDF55"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Laura, Netty. (2021). Pengaruh Keadilan Organisasi </w:t>
      </w:r>
      <w:r>
        <w:rPr>
          <w:noProof/>
          <w:szCs w:val="24"/>
        </w:rPr>
        <w:t>d</w:t>
      </w:r>
      <w:r w:rsidRPr="00D23E04">
        <w:rPr>
          <w:noProof/>
          <w:szCs w:val="24"/>
        </w:rPr>
        <w:t xml:space="preserve">an Employer Branding </w:t>
      </w:r>
      <w:r>
        <w:rPr>
          <w:noProof/>
          <w:szCs w:val="24"/>
        </w:rPr>
        <w:t>t</w:t>
      </w:r>
      <w:r w:rsidRPr="00D23E04">
        <w:rPr>
          <w:noProof/>
          <w:szCs w:val="24"/>
        </w:rPr>
        <w:t xml:space="preserve">erhadap Turnover Intention </w:t>
      </w:r>
      <w:r>
        <w:rPr>
          <w:noProof/>
          <w:szCs w:val="24"/>
        </w:rPr>
        <w:t>d</w:t>
      </w:r>
      <w:r w:rsidRPr="00D23E04">
        <w:rPr>
          <w:noProof/>
          <w:szCs w:val="24"/>
        </w:rPr>
        <w:t xml:space="preserve">engan Employee Engagement </w:t>
      </w:r>
      <w:r>
        <w:rPr>
          <w:noProof/>
          <w:szCs w:val="24"/>
        </w:rPr>
        <w:t>s</w:t>
      </w:r>
      <w:r w:rsidRPr="00D23E04">
        <w:rPr>
          <w:noProof/>
          <w:szCs w:val="24"/>
        </w:rPr>
        <w:t xml:space="preserve">ebagai Variabel Mediasi. </w:t>
      </w:r>
      <w:r w:rsidRPr="00D23E04">
        <w:rPr>
          <w:i/>
          <w:iCs/>
          <w:noProof/>
          <w:szCs w:val="24"/>
        </w:rPr>
        <w:t>Media Studi Ekonomi</w:t>
      </w:r>
      <w:r w:rsidRPr="00D23E04">
        <w:rPr>
          <w:noProof/>
          <w:szCs w:val="24"/>
        </w:rPr>
        <w:t xml:space="preserve">, </w:t>
      </w:r>
      <w:r w:rsidRPr="00D23E04">
        <w:rPr>
          <w:i/>
          <w:iCs/>
          <w:noProof/>
          <w:szCs w:val="24"/>
        </w:rPr>
        <w:t>24</w:t>
      </w:r>
      <w:r w:rsidRPr="00D23E04">
        <w:rPr>
          <w:noProof/>
          <w:szCs w:val="24"/>
        </w:rPr>
        <w:t>(2).</w:t>
      </w:r>
    </w:p>
    <w:p w14:paraId="44F90319"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78F37B38"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Marthinus, E. E. (2020). </w:t>
      </w:r>
      <w:r w:rsidRPr="00D23E04">
        <w:rPr>
          <w:i/>
          <w:iCs/>
          <w:noProof/>
          <w:szCs w:val="24"/>
        </w:rPr>
        <w:t xml:space="preserve">The Influence Of Employer Branding On Turnover Intention </w:t>
      </w:r>
      <w:r w:rsidRPr="00D23E04">
        <w:rPr>
          <w:i/>
          <w:iCs/>
          <w:noProof/>
          <w:szCs w:val="24"/>
        </w:rPr>
        <w:lastRenderedPageBreak/>
        <w:t>Through Employee Engagement As The Moderating Variable</w:t>
      </w:r>
      <w:r w:rsidRPr="00D23E04">
        <w:rPr>
          <w:noProof/>
          <w:szCs w:val="24"/>
        </w:rPr>
        <w:t>.</w:t>
      </w:r>
    </w:p>
    <w:p w14:paraId="1FF8B624"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2FCB0E27"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Melin, Emma. (2005). </w:t>
      </w:r>
      <w:r w:rsidRPr="00D23E04">
        <w:rPr>
          <w:i/>
          <w:iCs/>
          <w:noProof/>
          <w:szCs w:val="24"/>
        </w:rPr>
        <w:t>Employer branding: Likenesses and differences between external and internal employer brand images</w:t>
      </w:r>
      <w:r w:rsidRPr="00D23E04">
        <w:rPr>
          <w:noProof/>
          <w:szCs w:val="24"/>
        </w:rPr>
        <w:t>.</w:t>
      </w:r>
    </w:p>
    <w:p w14:paraId="237057AD"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1BEABCEC"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Mobley, W. H. (2011). Pergantian Karyawan: Sebab-Akibat dan Pengendaliannya, Cet. 1: PT. </w:t>
      </w:r>
      <w:r w:rsidRPr="00D23E04">
        <w:rPr>
          <w:i/>
          <w:iCs/>
          <w:noProof/>
          <w:szCs w:val="24"/>
        </w:rPr>
        <w:t>Gramedia: PPM Dan Bisnis</w:t>
      </w:r>
      <w:r w:rsidRPr="00D23E04">
        <w:rPr>
          <w:noProof/>
          <w:szCs w:val="24"/>
        </w:rPr>
        <w:t xml:space="preserve">, </w:t>
      </w:r>
      <w:r w:rsidRPr="00D23E04">
        <w:rPr>
          <w:i/>
          <w:iCs/>
          <w:noProof/>
          <w:szCs w:val="24"/>
        </w:rPr>
        <w:t>2030</w:t>
      </w:r>
      <w:r w:rsidRPr="00D23E04">
        <w:rPr>
          <w:noProof/>
          <w:szCs w:val="24"/>
        </w:rPr>
        <w:t>.</w:t>
      </w:r>
    </w:p>
    <w:p w14:paraId="27E03E19"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175E598B"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Nelson, Debra L., &amp; Quick, James Campbell. (2003). Organizational Behavior: Foundations. </w:t>
      </w:r>
      <w:r w:rsidRPr="00D23E04">
        <w:rPr>
          <w:i/>
          <w:iCs/>
          <w:noProof/>
          <w:szCs w:val="24"/>
        </w:rPr>
        <w:t>Realities and Challenges</w:t>
      </w:r>
      <w:r w:rsidRPr="00D23E04">
        <w:rPr>
          <w:noProof/>
          <w:szCs w:val="24"/>
        </w:rPr>
        <w:t xml:space="preserve">, </w:t>
      </w:r>
      <w:r w:rsidRPr="00D23E04">
        <w:rPr>
          <w:i/>
          <w:iCs/>
          <w:noProof/>
          <w:szCs w:val="24"/>
        </w:rPr>
        <w:t>4</w:t>
      </w:r>
      <w:r w:rsidRPr="00D23E04">
        <w:rPr>
          <w:noProof/>
          <w:szCs w:val="24"/>
        </w:rPr>
        <w:t>.</w:t>
      </w:r>
    </w:p>
    <w:p w14:paraId="60BB0C0A"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199DD8A1"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Rachman, Lutfi, &amp; Dewanto, Aryo. (2016). Pengaruh employee engagement terhadap kepuasan kerja dan turnover intention perawat (studi pada Rumah Sakit Wava Husada Kepanjen Malang). </w:t>
      </w:r>
      <w:r w:rsidRPr="00D23E04">
        <w:rPr>
          <w:i/>
          <w:iCs/>
          <w:noProof/>
          <w:szCs w:val="24"/>
        </w:rPr>
        <w:t>Jurnal Aplikasi Manajemen</w:t>
      </w:r>
      <w:r w:rsidRPr="00D23E04">
        <w:rPr>
          <w:noProof/>
          <w:szCs w:val="24"/>
        </w:rPr>
        <w:t xml:space="preserve">, </w:t>
      </w:r>
      <w:r w:rsidRPr="00D23E04">
        <w:rPr>
          <w:i/>
          <w:iCs/>
          <w:noProof/>
          <w:szCs w:val="24"/>
        </w:rPr>
        <w:t>14</w:t>
      </w:r>
      <w:r w:rsidRPr="00D23E04">
        <w:rPr>
          <w:noProof/>
          <w:szCs w:val="24"/>
        </w:rPr>
        <w:t>(2), 322–333.</w:t>
      </w:r>
    </w:p>
    <w:p w14:paraId="02C9B600"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578C55A1"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Sponheuer, Birgit. (2010). </w:t>
      </w:r>
      <w:r w:rsidRPr="00D23E04">
        <w:rPr>
          <w:i/>
          <w:iCs/>
          <w:noProof/>
          <w:szCs w:val="24"/>
        </w:rPr>
        <w:t>Employer Branding als Bestandteil einer ganzheitlichen Markenführung</w:t>
      </w:r>
      <w:r w:rsidRPr="00D23E04">
        <w:rPr>
          <w:noProof/>
          <w:szCs w:val="24"/>
        </w:rPr>
        <w:t>. Springer.</w:t>
      </w:r>
    </w:p>
    <w:p w14:paraId="0F57D3BA"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3DBDE3B8" w14:textId="77777777" w:rsidR="00590FB7" w:rsidRDefault="00590FB7" w:rsidP="00590FB7">
      <w:pPr>
        <w:widowControl w:val="0"/>
        <w:autoSpaceDE w:val="0"/>
        <w:autoSpaceDN w:val="0"/>
        <w:adjustRightInd w:val="0"/>
        <w:spacing w:after="0" w:line="276" w:lineRule="auto"/>
        <w:ind w:left="480" w:hanging="480"/>
        <w:rPr>
          <w:noProof/>
          <w:szCs w:val="24"/>
        </w:rPr>
      </w:pPr>
      <w:r w:rsidRPr="00D23E04">
        <w:rPr>
          <w:noProof/>
          <w:szCs w:val="24"/>
        </w:rPr>
        <w:t xml:space="preserve">Sugiyono, P. D. (2019). Metode Penelitian Pendidikan (Kuantitatif, Kualitatif, Kombinasi, R&amp;d dan Penelitian Pendidikan). </w:t>
      </w:r>
      <w:r w:rsidRPr="00D23E04">
        <w:rPr>
          <w:i/>
          <w:iCs/>
          <w:noProof/>
          <w:szCs w:val="24"/>
        </w:rPr>
        <w:t>Metode Penelitian Pendidikan</w:t>
      </w:r>
      <w:r w:rsidRPr="00D23E04">
        <w:rPr>
          <w:noProof/>
          <w:szCs w:val="24"/>
        </w:rPr>
        <w:t xml:space="preserve">, </w:t>
      </w:r>
      <w:r w:rsidRPr="00D23E04">
        <w:rPr>
          <w:i/>
          <w:iCs/>
          <w:noProof/>
          <w:szCs w:val="24"/>
        </w:rPr>
        <w:t>67</w:t>
      </w:r>
      <w:r w:rsidRPr="00D23E04">
        <w:rPr>
          <w:noProof/>
          <w:szCs w:val="24"/>
        </w:rPr>
        <w:t>.</w:t>
      </w:r>
    </w:p>
    <w:p w14:paraId="3762431E" w14:textId="77777777" w:rsidR="00637E37" w:rsidRPr="00D23E04" w:rsidRDefault="00637E37" w:rsidP="00590FB7">
      <w:pPr>
        <w:widowControl w:val="0"/>
        <w:autoSpaceDE w:val="0"/>
        <w:autoSpaceDN w:val="0"/>
        <w:adjustRightInd w:val="0"/>
        <w:spacing w:after="0" w:line="276" w:lineRule="auto"/>
        <w:ind w:left="480" w:hanging="480"/>
        <w:rPr>
          <w:noProof/>
          <w:szCs w:val="24"/>
        </w:rPr>
      </w:pPr>
    </w:p>
    <w:p w14:paraId="38D5E8B4" w14:textId="77777777" w:rsidR="00590FB7" w:rsidRPr="00D23E04" w:rsidRDefault="00590FB7" w:rsidP="00590FB7">
      <w:pPr>
        <w:widowControl w:val="0"/>
        <w:autoSpaceDE w:val="0"/>
        <w:autoSpaceDN w:val="0"/>
        <w:adjustRightInd w:val="0"/>
        <w:spacing w:after="0" w:line="276" w:lineRule="auto"/>
        <w:ind w:left="480" w:hanging="480"/>
        <w:rPr>
          <w:noProof/>
        </w:rPr>
      </w:pPr>
      <w:r w:rsidRPr="00D23E04">
        <w:rPr>
          <w:noProof/>
          <w:szCs w:val="24"/>
        </w:rPr>
        <w:t xml:space="preserve">Windayanti, Windayanti, &amp; Febrian, Wenny Desty Febrian. (2022). Peranan Employer Branding Dan Motivasi Kerja Untuk Menciptakan Employee Engagement Di Universitas Xyz. </w:t>
      </w:r>
      <w:r w:rsidRPr="00D23E04">
        <w:rPr>
          <w:i/>
          <w:iCs/>
          <w:noProof/>
          <w:szCs w:val="24"/>
        </w:rPr>
        <w:t>Jurnal Perspektif Manajerial Dan Kewirausahaan (JPMK)</w:t>
      </w:r>
      <w:r w:rsidRPr="00D23E04">
        <w:rPr>
          <w:noProof/>
          <w:szCs w:val="24"/>
        </w:rPr>
        <w:t xml:space="preserve">, </w:t>
      </w:r>
      <w:r w:rsidRPr="00D23E04">
        <w:rPr>
          <w:i/>
          <w:iCs/>
          <w:noProof/>
          <w:szCs w:val="24"/>
        </w:rPr>
        <w:t>2</w:t>
      </w:r>
      <w:r w:rsidRPr="00D23E04">
        <w:rPr>
          <w:noProof/>
          <w:szCs w:val="24"/>
        </w:rPr>
        <w:t>(2), 1–8.</w:t>
      </w:r>
    </w:p>
    <w:p w14:paraId="04192DDD" w14:textId="014D1996" w:rsidR="00461628" w:rsidRPr="00461628" w:rsidRDefault="00590FB7" w:rsidP="00590FB7">
      <w:pPr>
        <w:widowControl w:val="0"/>
        <w:autoSpaceDE w:val="0"/>
        <w:autoSpaceDN w:val="0"/>
        <w:adjustRightInd w:val="0"/>
        <w:spacing w:after="0" w:line="276" w:lineRule="auto"/>
        <w:ind w:left="480" w:hanging="480"/>
        <w:rPr>
          <w:b/>
          <w:bCs/>
          <w:color w:val="auto"/>
        </w:rPr>
      </w:pPr>
      <w:r>
        <w:rPr>
          <w:color w:val="auto"/>
        </w:rPr>
        <w:fldChar w:fldCharType="end"/>
      </w:r>
    </w:p>
    <w:sectPr w:rsidR="00461628" w:rsidRPr="00461628" w:rsidSect="00DD330B">
      <w:headerReference w:type="even" r:id="rId12"/>
      <w:headerReference w:type="default" r:id="rId13"/>
      <w:footerReference w:type="even" r:id="rId14"/>
      <w:footerReference w:type="default" r:id="rId15"/>
      <w:headerReference w:type="first" r:id="rId16"/>
      <w:footerReference w:type="first" r:id="rId17"/>
      <w:pgSz w:w="11906" w:h="16838"/>
      <w:pgMar w:top="748" w:right="1394" w:bottom="707" w:left="1440" w:header="720" w:footer="703" w:gutter="0"/>
      <w:pgNumType w:start="29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FDE1A" w14:textId="77777777" w:rsidR="00524ACD" w:rsidRDefault="00524ACD">
      <w:pPr>
        <w:spacing w:after="0" w:line="240" w:lineRule="auto"/>
      </w:pPr>
      <w:r>
        <w:separator/>
      </w:r>
    </w:p>
  </w:endnote>
  <w:endnote w:type="continuationSeparator" w:id="0">
    <w:p w14:paraId="7898FA1A" w14:textId="77777777" w:rsidR="00524ACD" w:rsidRDefault="0052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C65EB" w14:textId="1C33CDA5" w:rsidR="00BD7577" w:rsidRPr="00C04CAB" w:rsidRDefault="008F42D3" w:rsidP="006349E6">
    <w:pPr>
      <w:tabs>
        <w:tab w:val="right" w:pos="9072"/>
      </w:tabs>
      <w:spacing w:after="0" w:line="259" w:lineRule="auto"/>
      <w:ind w:right="0" w:firstLine="0"/>
      <w:jc w:val="righ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412D38">
      <w:rPr>
        <w:noProof/>
        <w:szCs w:val="24"/>
      </w:rPr>
      <w:t>304</w:t>
    </w:r>
    <w:r w:rsidRPr="00C04CAB">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DA7F" w14:textId="51CD2930" w:rsidR="00BD7577" w:rsidRPr="00C04CAB" w:rsidRDefault="008F42D3" w:rsidP="006349E6">
    <w:pPr>
      <w:tabs>
        <w:tab w:val="center" w:pos="2127"/>
        <w:tab w:val="right" w:pos="9072"/>
      </w:tabs>
      <w:spacing w:after="0" w:line="259" w:lineRule="auto"/>
      <w:ind w:right="0" w:firstLine="0"/>
      <w:jc w:val="lef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412D38">
      <w:rPr>
        <w:noProof/>
        <w:szCs w:val="24"/>
      </w:rPr>
      <w:t>303</w:t>
    </w:r>
    <w:r w:rsidRPr="00C04CAB">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32EA3" w14:textId="1F37F569" w:rsidR="00BD7577" w:rsidRPr="00C04CAB" w:rsidRDefault="008F42D3" w:rsidP="00226028">
    <w:pPr>
      <w:spacing w:after="0" w:line="259" w:lineRule="auto"/>
      <w:ind w:right="0" w:firstLine="0"/>
      <w:jc w:val="righ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412D38">
      <w:rPr>
        <w:noProof/>
        <w:szCs w:val="24"/>
      </w:rPr>
      <w:t>297</w:t>
    </w:r>
    <w:r w:rsidRPr="00C04CAB">
      <w:rP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899A4" w14:textId="77777777" w:rsidR="00524ACD" w:rsidRDefault="00524ACD">
      <w:pPr>
        <w:spacing w:after="0" w:line="240" w:lineRule="auto"/>
      </w:pPr>
      <w:r>
        <w:separator/>
      </w:r>
    </w:p>
  </w:footnote>
  <w:footnote w:type="continuationSeparator" w:id="0">
    <w:p w14:paraId="10B7C126" w14:textId="77777777" w:rsidR="00524ACD" w:rsidRDefault="00524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2F1A" w14:textId="408424F9" w:rsidR="00BD7577" w:rsidRPr="00637E37" w:rsidRDefault="00637E37" w:rsidP="00637E37">
    <w:pPr>
      <w:pStyle w:val="Header"/>
      <w:ind w:firstLine="0"/>
    </w:pPr>
    <w:r w:rsidRPr="00637E37">
      <w:rPr>
        <w:rFonts w:asciiTheme="majorBidi" w:hAnsiTheme="majorBidi" w:cstheme="majorBidi"/>
        <w:i/>
        <w:iCs/>
        <w:szCs w:val="24"/>
      </w:rPr>
      <w:t>Pengaruh Employer Branding terhadap Turnover Intention Dimediasi Employee Engagement di XYZ Headhunter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D946" w14:textId="77C673E6" w:rsidR="00BD7577" w:rsidRPr="00637E37" w:rsidRDefault="00637E37" w:rsidP="00637E37">
    <w:pPr>
      <w:pStyle w:val="Header"/>
      <w:ind w:firstLine="0"/>
    </w:pPr>
    <w:r w:rsidRPr="00637E37">
      <w:rPr>
        <w:rFonts w:asciiTheme="majorBidi" w:hAnsiTheme="majorBidi" w:cstheme="majorBidi"/>
        <w:i/>
        <w:iCs/>
        <w:szCs w:val="24"/>
      </w:rPr>
      <w:t>Pengaruh Employer Branding terhadap Turnover Intention Dimediasi Employee Engagement di XYZ Headhunter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88472" w14:textId="77777777" w:rsidR="00BD7577" w:rsidRDefault="00BD757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FDAAE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4"/>
    <w:multiLevelType w:val="hybridMultilevel"/>
    <w:tmpl w:val="D76CF574"/>
    <w:lvl w:ilvl="0" w:tplc="0409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0000006"/>
    <w:multiLevelType w:val="hybridMultilevel"/>
    <w:tmpl w:val="7BF6EFD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20C3646"/>
    <w:multiLevelType w:val="hybridMultilevel"/>
    <w:tmpl w:val="CD468EB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06040602"/>
    <w:multiLevelType w:val="hybridMultilevel"/>
    <w:tmpl w:val="3A7640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69402BE"/>
    <w:multiLevelType w:val="hybridMultilevel"/>
    <w:tmpl w:val="9F1A1E6E"/>
    <w:lvl w:ilvl="0" w:tplc="38090019">
      <w:start w:val="1"/>
      <w:numFmt w:val="lowerLetter"/>
      <w:lvlText w:val="%1."/>
      <w:lvlJc w:val="left"/>
      <w:pPr>
        <w:ind w:left="1276" w:hanging="360"/>
      </w:pPr>
    </w:lvl>
    <w:lvl w:ilvl="1" w:tplc="38090019" w:tentative="1">
      <w:start w:val="1"/>
      <w:numFmt w:val="lowerLetter"/>
      <w:lvlText w:val="%2."/>
      <w:lvlJc w:val="left"/>
      <w:pPr>
        <w:ind w:left="1996" w:hanging="360"/>
      </w:pPr>
    </w:lvl>
    <w:lvl w:ilvl="2" w:tplc="3809001B" w:tentative="1">
      <w:start w:val="1"/>
      <w:numFmt w:val="lowerRoman"/>
      <w:lvlText w:val="%3."/>
      <w:lvlJc w:val="right"/>
      <w:pPr>
        <w:ind w:left="2716" w:hanging="180"/>
      </w:pPr>
    </w:lvl>
    <w:lvl w:ilvl="3" w:tplc="3809000F" w:tentative="1">
      <w:start w:val="1"/>
      <w:numFmt w:val="decimal"/>
      <w:lvlText w:val="%4."/>
      <w:lvlJc w:val="left"/>
      <w:pPr>
        <w:ind w:left="3436" w:hanging="360"/>
      </w:pPr>
    </w:lvl>
    <w:lvl w:ilvl="4" w:tplc="38090019" w:tentative="1">
      <w:start w:val="1"/>
      <w:numFmt w:val="lowerLetter"/>
      <w:lvlText w:val="%5."/>
      <w:lvlJc w:val="left"/>
      <w:pPr>
        <w:ind w:left="4156" w:hanging="360"/>
      </w:pPr>
    </w:lvl>
    <w:lvl w:ilvl="5" w:tplc="3809001B" w:tentative="1">
      <w:start w:val="1"/>
      <w:numFmt w:val="lowerRoman"/>
      <w:lvlText w:val="%6."/>
      <w:lvlJc w:val="right"/>
      <w:pPr>
        <w:ind w:left="4876" w:hanging="180"/>
      </w:pPr>
    </w:lvl>
    <w:lvl w:ilvl="6" w:tplc="3809000F" w:tentative="1">
      <w:start w:val="1"/>
      <w:numFmt w:val="decimal"/>
      <w:lvlText w:val="%7."/>
      <w:lvlJc w:val="left"/>
      <w:pPr>
        <w:ind w:left="5596" w:hanging="360"/>
      </w:pPr>
    </w:lvl>
    <w:lvl w:ilvl="7" w:tplc="38090019" w:tentative="1">
      <w:start w:val="1"/>
      <w:numFmt w:val="lowerLetter"/>
      <w:lvlText w:val="%8."/>
      <w:lvlJc w:val="left"/>
      <w:pPr>
        <w:ind w:left="6316" w:hanging="360"/>
      </w:pPr>
    </w:lvl>
    <w:lvl w:ilvl="8" w:tplc="3809001B" w:tentative="1">
      <w:start w:val="1"/>
      <w:numFmt w:val="lowerRoman"/>
      <w:lvlText w:val="%9."/>
      <w:lvlJc w:val="right"/>
      <w:pPr>
        <w:ind w:left="7036" w:hanging="180"/>
      </w:pPr>
    </w:lvl>
  </w:abstractNum>
  <w:abstractNum w:abstractNumId="6">
    <w:nsid w:val="0C972952"/>
    <w:multiLevelType w:val="hybridMultilevel"/>
    <w:tmpl w:val="D700CCB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BE005B"/>
    <w:multiLevelType w:val="hybridMultilevel"/>
    <w:tmpl w:val="9206857E"/>
    <w:lvl w:ilvl="0" w:tplc="816814A0">
      <w:start w:val="1"/>
      <w:numFmt w:val="decimal"/>
      <w:lvlText w:val="%1."/>
      <w:lvlJc w:val="left"/>
      <w:pPr>
        <w:ind w:left="1980" w:hanging="360"/>
      </w:pPr>
      <w:rPr>
        <w:rFonts w:hint="default"/>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8">
    <w:nsid w:val="164F1333"/>
    <w:multiLevelType w:val="hybridMultilevel"/>
    <w:tmpl w:val="4E4870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EF3C33"/>
    <w:multiLevelType w:val="hybridMultilevel"/>
    <w:tmpl w:val="A06CFDD0"/>
    <w:lvl w:ilvl="0" w:tplc="56ECEF8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C3A0461"/>
    <w:multiLevelType w:val="hybridMultilevel"/>
    <w:tmpl w:val="8D3E2A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4E3543E"/>
    <w:multiLevelType w:val="hybridMultilevel"/>
    <w:tmpl w:val="2A36A4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AFC3E58"/>
    <w:multiLevelType w:val="hybridMultilevel"/>
    <w:tmpl w:val="C8260F24"/>
    <w:lvl w:ilvl="0" w:tplc="EA5ED2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F05112B"/>
    <w:multiLevelType w:val="hybridMultilevel"/>
    <w:tmpl w:val="86AE3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2010A04"/>
    <w:multiLevelType w:val="hybridMultilevel"/>
    <w:tmpl w:val="F92462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4611F5F"/>
    <w:multiLevelType w:val="hybridMultilevel"/>
    <w:tmpl w:val="CC4E7CAC"/>
    <w:lvl w:ilvl="0" w:tplc="2932E7CA">
      <w:start w:val="1"/>
      <w:numFmt w:val="decimal"/>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16">
    <w:nsid w:val="380B34DF"/>
    <w:multiLevelType w:val="hybridMultilevel"/>
    <w:tmpl w:val="36C22A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nsid w:val="44D32334"/>
    <w:multiLevelType w:val="hybridMultilevel"/>
    <w:tmpl w:val="6220E6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4F93882"/>
    <w:multiLevelType w:val="hybridMultilevel"/>
    <w:tmpl w:val="AFEA55F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D032F5A"/>
    <w:multiLevelType w:val="hybridMultilevel"/>
    <w:tmpl w:val="3CCCCC36"/>
    <w:lvl w:ilvl="0" w:tplc="218C7104">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90C53"/>
    <w:multiLevelType w:val="hybridMultilevel"/>
    <w:tmpl w:val="CB9A897C"/>
    <w:lvl w:ilvl="0" w:tplc="38090019">
      <w:start w:val="1"/>
      <w:numFmt w:val="lowerLetter"/>
      <w:lvlText w:val="%1."/>
      <w:lvlJc w:val="left"/>
      <w:pPr>
        <w:ind w:left="1004" w:hanging="360"/>
      </w:pPr>
    </w:lvl>
    <w:lvl w:ilvl="1" w:tplc="EC144270">
      <w:start w:val="1"/>
      <w:numFmt w:val="decimal"/>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nsid w:val="4FDD1B3A"/>
    <w:multiLevelType w:val="hybridMultilevel"/>
    <w:tmpl w:val="C2B2D5D2"/>
    <w:lvl w:ilvl="0" w:tplc="F2CE7B1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FF62549"/>
    <w:multiLevelType w:val="hybridMultilevel"/>
    <w:tmpl w:val="155E21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76A08BF"/>
    <w:multiLevelType w:val="hybridMultilevel"/>
    <w:tmpl w:val="73BA0B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0194FA1"/>
    <w:multiLevelType w:val="hybridMultilevel"/>
    <w:tmpl w:val="ED34ADC2"/>
    <w:lvl w:ilvl="0" w:tplc="C55867C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nsid w:val="722B3F08"/>
    <w:multiLevelType w:val="hybridMultilevel"/>
    <w:tmpl w:val="30300B4E"/>
    <w:lvl w:ilvl="0" w:tplc="8442810C">
      <w:start w:val="1"/>
      <w:numFmt w:val="lowerLetter"/>
      <w:lvlText w:val="%1."/>
      <w:lvlJc w:val="left"/>
      <w:pPr>
        <w:ind w:left="1800" w:hanging="360"/>
      </w:pPr>
      <w:rPr>
        <w:rFonts w:hint="default"/>
        <w:i w:val="0"/>
        <w:color w:val="363636"/>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nsid w:val="75F4564E"/>
    <w:multiLevelType w:val="hybridMultilevel"/>
    <w:tmpl w:val="581815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73F7CE5"/>
    <w:multiLevelType w:val="hybridMultilevel"/>
    <w:tmpl w:val="85F47F52"/>
    <w:lvl w:ilvl="0" w:tplc="BE9CF8E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AA2609B"/>
    <w:multiLevelType w:val="hybridMultilevel"/>
    <w:tmpl w:val="7DD82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E792907"/>
    <w:multiLevelType w:val="hybridMultilevel"/>
    <w:tmpl w:val="C090E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8"/>
  </w:num>
  <w:num w:numId="5">
    <w:abstractNumId w:val="9"/>
  </w:num>
  <w:num w:numId="6">
    <w:abstractNumId w:val="29"/>
  </w:num>
  <w:num w:numId="7">
    <w:abstractNumId w:val="27"/>
  </w:num>
  <w:num w:numId="8">
    <w:abstractNumId w:val="17"/>
  </w:num>
  <w:num w:numId="9">
    <w:abstractNumId w:val="5"/>
  </w:num>
  <w:num w:numId="10">
    <w:abstractNumId w:val="15"/>
  </w:num>
  <w:num w:numId="11">
    <w:abstractNumId w:val="20"/>
  </w:num>
  <w:num w:numId="12">
    <w:abstractNumId w:val="24"/>
  </w:num>
  <w:num w:numId="13">
    <w:abstractNumId w:val="6"/>
  </w:num>
  <w:num w:numId="14">
    <w:abstractNumId w:val="18"/>
  </w:num>
  <w:num w:numId="15">
    <w:abstractNumId w:val="23"/>
  </w:num>
  <w:num w:numId="16">
    <w:abstractNumId w:val="22"/>
  </w:num>
  <w:num w:numId="17">
    <w:abstractNumId w:val="12"/>
  </w:num>
  <w:num w:numId="18">
    <w:abstractNumId w:val="10"/>
  </w:num>
  <w:num w:numId="19">
    <w:abstractNumId w:val="25"/>
  </w:num>
  <w:num w:numId="20">
    <w:abstractNumId w:val="21"/>
  </w:num>
  <w:num w:numId="21">
    <w:abstractNumId w:val="26"/>
  </w:num>
  <w:num w:numId="22">
    <w:abstractNumId w:val="8"/>
  </w:num>
  <w:num w:numId="23">
    <w:abstractNumId w:val="14"/>
  </w:num>
  <w:num w:numId="24">
    <w:abstractNumId w:val="4"/>
  </w:num>
  <w:num w:numId="25">
    <w:abstractNumId w:val="7"/>
  </w:num>
  <w:num w:numId="26">
    <w:abstractNumId w:val="13"/>
  </w:num>
  <w:num w:numId="27">
    <w:abstractNumId w:val="11"/>
  </w:num>
  <w:num w:numId="28">
    <w:abstractNumId w:val="16"/>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77"/>
    <w:rsid w:val="0001695D"/>
    <w:rsid w:val="00021613"/>
    <w:rsid w:val="00035201"/>
    <w:rsid w:val="00042A41"/>
    <w:rsid w:val="00054004"/>
    <w:rsid w:val="00054917"/>
    <w:rsid w:val="0005681B"/>
    <w:rsid w:val="00073752"/>
    <w:rsid w:val="000A0291"/>
    <w:rsid w:val="000C053E"/>
    <w:rsid w:val="000C24EA"/>
    <w:rsid w:val="000F44D1"/>
    <w:rsid w:val="0010338D"/>
    <w:rsid w:val="00116D9C"/>
    <w:rsid w:val="00133F76"/>
    <w:rsid w:val="00156FFD"/>
    <w:rsid w:val="00183173"/>
    <w:rsid w:val="001A6FDA"/>
    <w:rsid w:val="001C43FA"/>
    <w:rsid w:val="001E0E7D"/>
    <w:rsid w:val="001F1F84"/>
    <w:rsid w:val="00212B8B"/>
    <w:rsid w:val="00226028"/>
    <w:rsid w:val="00264C60"/>
    <w:rsid w:val="00272C14"/>
    <w:rsid w:val="0028063E"/>
    <w:rsid w:val="00283709"/>
    <w:rsid w:val="002904F1"/>
    <w:rsid w:val="002A17BF"/>
    <w:rsid w:val="002A41BA"/>
    <w:rsid w:val="002D2B0D"/>
    <w:rsid w:val="002E0FD1"/>
    <w:rsid w:val="00310C6A"/>
    <w:rsid w:val="00321D93"/>
    <w:rsid w:val="00324826"/>
    <w:rsid w:val="003724E9"/>
    <w:rsid w:val="003743C2"/>
    <w:rsid w:val="003826A4"/>
    <w:rsid w:val="003939FE"/>
    <w:rsid w:val="003A4A55"/>
    <w:rsid w:val="003A673A"/>
    <w:rsid w:val="003D15E8"/>
    <w:rsid w:val="003E5BF5"/>
    <w:rsid w:val="003F6AB1"/>
    <w:rsid w:val="00412D38"/>
    <w:rsid w:val="004257EA"/>
    <w:rsid w:val="0043221E"/>
    <w:rsid w:val="00436C07"/>
    <w:rsid w:val="004420BE"/>
    <w:rsid w:val="00461628"/>
    <w:rsid w:val="004855BE"/>
    <w:rsid w:val="004872E8"/>
    <w:rsid w:val="004975DC"/>
    <w:rsid w:val="004B56F3"/>
    <w:rsid w:val="004B6A48"/>
    <w:rsid w:val="004C1F75"/>
    <w:rsid w:val="004C3E83"/>
    <w:rsid w:val="004E6B4D"/>
    <w:rsid w:val="004F6C7C"/>
    <w:rsid w:val="00524ACD"/>
    <w:rsid w:val="00526278"/>
    <w:rsid w:val="00527E39"/>
    <w:rsid w:val="00535A7A"/>
    <w:rsid w:val="005378CA"/>
    <w:rsid w:val="00552B6D"/>
    <w:rsid w:val="00554B03"/>
    <w:rsid w:val="00560597"/>
    <w:rsid w:val="0057075A"/>
    <w:rsid w:val="00573FE0"/>
    <w:rsid w:val="00590FB7"/>
    <w:rsid w:val="005A542E"/>
    <w:rsid w:val="005F144B"/>
    <w:rsid w:val="005F27B4"/>
    <w:rsid w:val="006029C5"/>
    <w:rsid w:val="00612F41"/>
    <w:rsid w:val="00615D54"/>
    <w:rsid w:val="00621131"/>
    <w:rsid w:val="00625CE4"/>
    <w:rsid w:val="006349E6"/>
    <w:rsid w:val="00637E37"/>
    <w:rsid w:val="00645204"/>
    <w:rsid w:val="0064638F"/>
    <w:rsid w:val="00656942"/>
    <w:rsid w:val="00687114"/>
    <w:rsid w:val="006900E2"/>
    <w:rsid w:val="006945EA"/>
    <w:rsid w:val="006B0570"/>
    <w:rsid w:val="006B58EE"/>
    <w:rsid w:val="00744A28"/>
    <w:rsid w:val="007500A6"/>
    <w:rsid w:val="00760B96"/>
    <w:rsid w:val="007660C1"/>
    <w:rsid w:val="00790CCA"/>
    <w:rsid w:val="007A31C0"/>
    <w:rsid w:val="007B371B"/>
    <w:rsid w:val="007C6FD1"/>
    <w:rsid w:val="008043B7"/>
    <w:rsid w:val="008212AC"/>
    <w:rsid w:val="00836715"/>
    <w:rsid w:val="00896CDC"/>
    <w:rsid w:val="008A1CDA"/>
    <w:rsid w:val="008C647E"/>
    <w:rsid w:val="008D024A"/>
    <w:rsid w:val="008D6190"/>
    <w:rsid w:val="008D7401"/>
    <w:rsid w:val="008E6FE7"/>
    <w:rsid w:val="008E7725"/>
    <w:rsid w:val="008F2323"/>
    <w:rsid w:val="008F42D3"/>
    <w:rsid w:val="008F518E"/>
    <w:rsid w:val="008F7253"/>
    <w:rsid w:val="009343CA"/>
    <w:rsid w:val="00935A72"/>
    <w:rsid w:val="00936157"/>
    <w:rsid w:val="009373A5"/>
    <w:rsid w:val="009421A1"/>
    <w:rsid w:val="00961C04"/>
    <w:rsid w:val="00975F08"/>
    <w:rsid w:val="00984FE0"/>
    <w:rsid w:val="009C7BE6"/>
    <w:rsid w:val="009D29CA"/>
    <w:rsid w:val="009D6339"/>
    <w:rsid w:val="009E2231"/>
    <w:rsid w:val="009E2B31"/>
    <w:rsid w:val="009F7F97"/>
    <w:rsid w:val="00A033EC"/>
    <w:rsid w:val="00A2775C"/>
    <w:rsid w:val="00A475AA"/>
    <w:rsid w:val="00A625BD"/>
    <w:rsid w:val="00A626AC"/>
    <w:rsid w:val="00AE4894"/>
    <w:rsid w:val="00AF05CA"/>
    <w:rsid w:val="00AF565A"/>
    <w:rsid w:val="00B04964"/>
    <w:rsid w:val="00B2050E"/>
    <w:rsid w:val="00B455F8"/>
    <w:rsid w:val="00B46BA6"/>
    <w:rsid w:val="00B57E6B"/>
    <w:rsid w:val="00B61D57"/>
    <w:rsid w:val="00B82F0D"/>
    <w:rsid w:val="00B84099"/>
    <w:rsid w:val="00B94203"/>
    <w:rsid w:val="00BB1BA2"/>
    <w:rsid w:val="00BC06A2"/>
    <w:rsid w:val="00BD7577"/>
    <w:rsid w:val="00BE17D9"/>
    <w:rsid w:val="00BF194E"/>
    <w:rsid w:val="00BF1E04"/>
    <w:rsid w:val="00C04CAB"/>
    <w:rsid w:val="00C05BCA"/>
    <w:rsid w:val="00C179D9"/>
    <w:rsid w:val="00C2013C"/>
    <w:rsid w:val="00C230A1"/>
    <w:rsid w:val="00C406A7"/>
    <w:rsid w:val="00C52BE8"/>
    <w:rsid w:val="00C53AB1"/>
    <w:rsid w:val="00C77324"/>
    <w:rsid w:val="00C91D23"/>
    <w:rsid w:val="00CA1AD5"/>
    <w:rsid w:val="00CB34B4"/>
    <w:rsid w:val="00CD3438"/>
    <w:rsid w:val="00CD7151"/>
    <w:rsid w:val="00CE3520"/>
    <w:rsid w:val="00D02B74"/>
    <w:rsid w:val="00D068AE"/>
    <w:rsid w:val="00D152D2"/>
    <w:rsid w:val="00D452BB"/>
    <w:rsid w:val="00D54239"/>
    <w:rsid w:val="00D6343F"/>
    <w:rsid w:val="00D859CB"/>
    <w:rsid w:val="00DB54E8"/>
    <w:rsid w:val="00DB5F4A"/>
    <w:rsid w:val="00DD330B"/>
    <w:rsid w:val="00DE736F"/>
    <w:rsid w:val="00DF6C49"/>
    <w:rsid w:val="00E332F1"/>
    <w:rsid w:val="00E354B2"/>
    <w:rsid w:val="00E36507"/>
    <w:rsid w:val="00E40AC6"/>
    <w:rsid w:val="00E50E73"/>
    <w:rsid w:val="00E65BBB"/>
    <w:rsid w:val="00E67FEB"/>
    <w:rsid w:val="00E75764"/>
    <w:rsid w:val="00E86923"/>
    <w:rsid w:val="00EB5F7D"/>
    <w:rsid w:val="00ED4372"/>
    <w:rsid w:val="00EE6EA3"/>
    <w:rsid w:val="00F05BC2"/>
    <w:rsid w:val="00F10395"/>
    <w:rsid w:val="00F11F98"/>
    <w:rsid w:val="00F24E16"/>
    <w:rsid w:val="00F54DE4"/>
    <w:rsid w:val="00F6159E"/>
    <w:rsid w:val="00F675ED"/>
    <w:rsid w:val="00F8191B"/>
    <w:rsid w:val="00FA0B7C"/>
    <w:rsid w:val="00FB16AE"/>
    <w:rsid w:val="00FB7E7C"/>
    <w:rsid w:val="00FC0AFC"/>
    <w:rsid w:val="00FC59D9"/>
    <w:rsid w:val="00FF38D6"/>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1">
    <w:name w:val="Unresolved Mention1"/>
    <w:basedOn w:val="DefaultParagraphFont"/>
    <w:uiPriority w:val="99"/>
    <w:semiHidden/>
    <w:unhideWhenUsed/>
    <w:rsid w:val="00035201"/>
    <w:rPr>
      <w:color w:val="605E5C"/>
      <w:shd w:val="clear" w:color="auto" w:fill="E1DFDD"/>
    </w:rPr>
  </w:style>
  <w:style w:type="paragraph" w:styleId="ListParagraph">
    <w:name w:val="List Paragraph"/>
    <w:basedOn w:val="Normal"/>
    <w:link w:val="ListParagraphChar"/>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table" w:styleId="TableGrid0">
    <w:name w:val="Table Grid"/>
    <w:basedOn w:val="TableNormal"/>
    <w:uiPriority w:val="59"/>
    <w:rsid w:val="0043221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yuqq">
    <w:name w:val="wdyuqq"/>
    <w:basedOn w:val="DefaultParagraphFont"/>
    <w:rsid w:val="003826A4"/>
  </w:style>
  <w:style w:type="paragraph" w:styleId="BalloonText">
    <w:name w:val="Balloon Text"/>
    <w:basedOn w:val="Normal"/>
    <w:link w:val="BalloonTextChar"/>
    <w:uiPriority w:val="99"/>
    <w:semiHidden/>
    <w:unhideWhenUsed/>
    <w:rsid w:val="00C91D23"/>
    <w:pPr>
      <w:spacing w:after="0" w:line="240" w:lineRule="auto"/>
      <w:ind w:right="0" w:firstLine="0"/>
      <w:jc w:val="left"/>
    </w:pPr>
    <w:rPr>
      <w:rFonts w:ascii="Tahoma" w:eastAsiaTheme="minorHAnsi" w:hAnsi="Tahoma" w:cs="Tahoma"/>
      <w:color w:val="auto"/>
      <w:sz w:val="16"/>
      <w:szCs w:val="16"/>
      <w:lang w:val="id-ID"/>
    </w:rPr>
  </w:style>
  <w:style w:type="character" w:customStyle="1" w:styleId="BalloonTextChar">
    <w:name w:val="Balloon Text Char"/>
    <w:basedOn w:val="DefaultParagraphFont"/>
    <w:link w:val="BalloonText"/>
    <w:uiPriority w:val="99"/>
    <w:semiHidden/>
    <w:rsid w:val="00C91D23"/>
    <w:rPr>
      <w:rFonts w:ascii="Tahoma" w:eastAsiaTheme="minorHAnsi" w:hAnsi="Tahoma" w:cs="Tahoma"/>
      <w:sz w:val="16"/>
      <w:szCs w:val="16"/>
      <w:lang w:val="id-ID"/>
    </w:rPr>
  </w:style>
  <w:style w:type="paragraph" w:styleId="FootnoteText">
    <w:name w:val="footnote text"/>
    <w:aliases w:val="Footnote Text Char Char Char Char,Footnote Text Char Char Char Char Char Char,Footnote Text Char Char Char Char Char Char Char,Footnote Text Char Char Char Char Char,Footnote Text Char Char Char,Footnote Text Char Char,LM Footnote,Char,Cha"/>
    <w:basedOn w:val="Normal"/>
    <w:link w:val="FootnoteTextChar"/>
    <w:uiPriority w:val="99"/>
    <w:unhideWhenUsed/>
    <w:rsid w:val="00C53AB1"/>
    <w:pPr>
      <w:spacing w:after="0" w:line="240" w:lineRule="auto"/>
      <w:ind w:right="0" w:firstLine="0"/>
      <w:jc w:val="left"/>
    </w:pPr>
    <w:rPr>
      <w:rFonts w:asciiTheme="minorHAnsi" w:eastAsiaTheme="minorEastAsia" w:hAnsiTheme="minorHAnsi" w:cstheme="minorBidi"/>
      <w:color w:val="auto"/>
      <w:sz w:val="20"/>
      <w:szCs w:val="20"/>
      <w:lang w:eastAsia="ja-JP"/>
    </w:rPr>
  </w:style>
  <w:style w:type="character" w:customStyle="1" w:styleId="FootnoteTextChar">
    <w:name w:val="Footnote Text Char"/>
    <w:aliases w:val="Footnote Text Char Char Char Char Char1,Footnote Text Char Char Char Char Char Char Char1,Footnote Text Char Char Char Char Char Char Char Char,Footnote Text Char Char Char Char Char Char1,Footnote Text Char Char Char Char1,Char Char"/>
    <w:basedOn w:val="DefaultParagraphFont"/>
    <w:link w:val="FootnoteText"/>
    <w:uiPriority w:val="99"/>
    <w:rsid w:val="00C53AB1"/>
    <w:rPr>
      <w:sz w:val="20"/>
      <w:szCs w:val="20"/>
      <w:lang w:eastAsia="ja-JP"/>
    </w:rPr>
  </w:style>
  <w:style w:type="paragraph" w:styleId="NormalWeb">
    <w:name w:val="Normal (Web)"/>
    <w:basedOn w:val="Normal"/>
    <w:uiPriority w:val="99"/>
    <w:unhideWhenUsed/>
    <w:rsid w:val="00C53AB1"/>
    <w:pPr>
      <w:spacing w:before="100" w:beforeAutospacing="1" w:after="100" w:afterAutospacing="1" w:line="240" w:lineRule="auto"/>
      <w:ind w:right="0" w:firstLine="0"/>
      <w:jc w:val="left"/>
    </w:pPr>
    <w:rPr>
      <w:color w:val="auto"/>
      <w:szCs w:val="24"/>
    </w:rPr>
  </w:style>
  <w:style w:type="character" w:styleId="Strong">
    <w:name w:val="Strong"/>
    <w:basedOn w:val="DefaultParagraphFont"/>
    <w:uiPriority w:val="22"/>
    <w:qFormat/>
    <w:rsid w:val="00C53AB1"/>
    <w:rPr>
      <w:b/>
      <w:bCs/>
    </w:rPr>
  </w:style>
  <w:style w:type="character" w:customStyle="1" w:styleId="cantweet">
    <w:name w:val="cantweet"/>
    <w:basedOn w:val="DefaultParagraphFont"/>
    <w:rsid w:val="00C53AB1"/>
  </w:style>
  <w:style w:type="character" w:customStyle="1" w:styleId="ListParagraphChar">
    <w:name w:val="List Paragraph Char"/>
    <w:basedOn w:val="DefaultParagraphFont"/>
    <w:link w:val="ListParagraph"/>
    <w:uiPriority w:val="34"/>
    <w:locked/>
    <w:rsid w:val="00C53AB1"/>
    <w:rPr>
      <w:rFonts w:ascii="Times New Roman" w:eastAsia="SimSun" w:hAnsi="Times New Roman" w:cs="Times New Roman"/>
      <w:sz w:val="20"/>
      <w:szCs w:val="20"/>
    </w:rPr>
  </w:style>
  <w:style w:type="paragraph" w:styleId="Caption">
    <w:name w:val="caption"/>
    <w:basedOn w:val="Normal"/>
    <w:next w:val="Normal"/>
    <w:uiPriority w:val="35"/>
    <w:unhideWhenUsed/>
    <w:qFormat/>
    <w:rsid w:val="00F11F98"/>
    <w:pPr>
      <w:spacing w:after="200" w:line="240" w:lineRule="auto"/>
      <w:ind w:right="0" w:firstLine="0"/>
      <w:jc w:val="left"/>
    </w:pPr>
    <w:rPr>
      <w:rFonts w:asciiTheme="minorHAnsi" w:eastAsiaTheme="minorHAnsi" w:hAnsiTheme="minorHAnsi" w:cstheme="minorBidi"/>
      <w:b/>
      <w:bCs/>
      <w:color w:val="5B9BD5" w:themeColor="accent1"/>
      <w:sz w:val="18"/>
      <w:szCs w:val="18"/>
    </w:rPr>
  </w:style>
  <w:style w:type="character" w:styleId="CommentReference">
    <w:name w:val="annotation reference"/>
    <w:basedOn w:val="DefaultParagraphFont"/>
    <w:uiPriority w:val="99"/>
    <w:semiHidden/>
    <w:unhideWhenUsed/>
    <w:rsid w:val="00590FB7"/>
    <w:rPr>
      <w:sz w:val="16"/>
      <w:szCs w:val="16"/>
    </w:rPr>
  </w:style>
  <w:style w:type="paragraph" w:styleId="CommentText">
    <w:name w:val="annotation text"/>
    <w:basedOn w:val="Normal"/>
    <w:link w:val="CommentTextChar"/>
    <w:uiPriority w:val="99"/>
    <w:semiHidden/>
    <w:unhideWhenUsed/>
    <w:rsid w:val="00590FB7"/>
    <w:pPr>
      <w:spacing w:line="240" w:lineRule="auto"/>
    </w:pPr>
    <w:rPr>
      <w:sz w:val="20"/>
      <w:szCs w:val="20"/>
    </w:rPr>
  </w:style>
  <w:style w:type="character" w:customStyle="1" w:styleId="CommentTextChar">
    <w:name w:val="Comment Text Char"/>
    <w:basedOn w:val="DefaultParagraphFont"/>
    <w:link w:val="CommentText"/>
    <w:uiPriority w:val="99"/>
    <w:semiHidden/>
    <w:rsid w:val="00590FB7"/>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1">
    <w:name w:val="Unresolved Mention1"/>
    <w:basedOn w:val="DefaultParagraphFont"/>
    <w:uiPriority w:val="99"/>
    <w:semiHidden/>
    <w:unhideWhenUsed/>
    <w:rsid w:val="00035201"/>
    <w:rPr>
      <w:color w:val="605E5C"/>
      <w:shd w:val="clear" w:color="auto" w:fill="E1DFDD"/>
    </w:rPr>
  </w:style>
  <w:style w:type="paragraph" w:styleId="ListParagraph">
    <w:name w:val="List Paragraph"/>
    <w:basedOn w:val="Normal"/>
    <w:link w:val="ListParagraphChar"/>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table" w:styleId="TableGrid0">
    <w:name w:val="Table Grid"/>
    <w:basedOn w:val="TableNormal"/>
    <w:uiPriority w:val="59"/>
    <w:rsid w:val="0043221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yuqq">
    <w:name w:val="wdyuqq"/>
    <w:basedOn w:val="DefaultParagraphFont"/>
    <w:rsid w:val="003826A4"/>
  </w:style>
  <w:style w:type="paragraph" w:styleId="BalloonText">
    <w:name w:val="Balloon Text"/>
    <w:basedOn w:val="Normal"/>
    <w:link w:val="BalloonTextChar"/>
    <w:uiPriority w:val="99"/>
    <w:semiHidden/>
    <w:unhideWhenUsed/>
    <w:rsid w:val="00C91D23"/>
    <w:pPr>
      <w:spacing w:after="0" w:line="240" w:lineRule="auto"/>
      <w:ind w:right="0" w:firstLine="0"/>
      <w:jc w:val="left"/>
    </w:pPr>
    <w:rPr>
      <w:rFonts w:ascii="Tahoma" w:eastAsiaTheme="minorHAnsi" w:hAnsi="Tahoma" w:cs="Tahoma"/>
      <w:color w:val="auto"/>
      <w:sz w:val="16"/>
      <w:szCs w:val="16"/>
      <w:lang w:val="id-ID"/>
    </w:rPr>
  </w:style>
  <w:style w:type="character" w:customStyle="1" w:styleId="BalloonTextChar">
    <w:name w:val="Balloon Text Char"/>
    <w:basedOn w:val="DefaultParagraphFont"/>
    <w:link w:val="BalloonText"/>
    <w:uiPriority w:val="99"/>
    <w:semiHidden/>
    <w:rsid w:val="00C91D23"/>
    <w:rPr>
      <w:rFonts w:ascii="Tahoma" w:eastAsiaTheme="minorHAnsi" w:hAnsi="Tahoma" w:cs="Tahoma"/>
      <w:sz w:val="16"/>
      <w:szCs w:val="16"/>
      <w:lang w:val="id-ID"/>
    </w:rPr>
  </w:style>
  <w:style w:type="paragraph" w:styleId="FootnoteText">
    <w:name w:val="footnote text"/>
    <w:aliases w:val="Footnote Text Char Char Char Char,Footnote Text Char Char Char Char Char Char,Footnote Text Char Char Char Char Char Char Char,Footnote Text Char Char Char Char Char,Footnote Text Char Char Char,Footnote Text Char Char,LM Footnote,Char,Cha"/>
    <w:basedOn w:val="Normal"/>
    <w:link w:val="FootnoteTextChar"/>
    <w:uiPriority w:val="99"/>
    <w:unhideWhenUsed/>
    <w:rsid w:val="00C53AB1"/>
    <w:pPr>
      <w:spacing w:after="0" w:line="240" w:lineRule="auto"/>
      <w:ind w:right="0" w:firstLine="0"/>
      <w:jc w:val="left"/>
    </w:pPr>
    <w:rPr>
      <w:rFonts w:asciiTheme="minorHAnsi" w:eastAsiaTheme="minorEastAsia" w:hAnsiTheme="minorHAnsi" w:cstheme="minorBidi"/>
      <w:color w:val="auto"/>
      <w:sz w:val="20"/>
      <w:szCs w:val="20"/>
      <w:lang w:eastAsia="ja-JP"/>
    </w:rPr>
  </w:style>
  <w:style w:type="character" w:customStyle="1" w:styleId="FootnoteTextChar">
    <w:name w:val="Footnote Text Char"/>
    <w:aliases w:val="Footnote Text Char Char Char Char Char1,Footnote Text Char Char Char Char Char Char Char1,Footnote Text Char Char Char Char Char Char Char Char,Footnote Text Char Char Char Char Char Char1,Footnote Text Char Char Char Char1,Char Char"/>
    <w:basedOn w:val="DefaultParagraphFont"/>
    <w:link w:val="FootnoteText"/>
    <w:uiPriority w:val="99"/>
    <w:rsid w:val="00C53AB1"/>
    <w:rPr>
      <w:sz w:val="20"/>
      <w:szCs w:val="20"/>
      <w:lang w:eastAsia="ja-JP"/>
    </w:rPr>
  </w:style>
  <w:style w:type="paragraph" w:styleId="NormalWeb">
    <w:name w:val="Normal (Web)"/>
    <w:basedOn w:val="Normal"/>
    <w:uiPriority w:val="99"/>
    <w:unhideWhenUsed/>
    <w:rsid w:val="00C53AB1"/>
    <w:pPr>
      <w:spacing w:before="100" w:beforeAutospacing="1" w:after="100" w:afterAutospacing="1" w:line="240" w:lineRule="auto"/>
      <w:ind w:right="0" w:firstLine="0"/>
      <w:jc w:val="left"/>
    </w:pPr>
    <w:rPr>
      <w:color w:val="auto"/>
      <w:szCs w:val="24"/>
    </w:rPr>
  </w:style>
  <w:style w:type="character" w:styleId="Strong">
    <w:name w:val="Strong"/>
    <w:basedOn w:val="DefaultParagraphFont"/>
    <w:uiPriority w:val="22"/>
    <w:qFormat/>
    <w:rsid w:val="00C53AB1"/>
    <w:rPr>
      <w:b/>
      <w:bCs/>
    </w:rPr>
  </w:style>
  <w:style w:type="character" w:customStyle="1" w:styleId="cantweet">
    <w:name w:val="cantweet"/>
    <w:basedOn w:val="DefaultParagraphFont"/>
    <w:rsid w:val="00C53AB1"/>
  </w:style>
  <w:style w:type="character" w:customStyle="1" w:styleId="ListParagraphChar">
    <w:name w:val="List Paragraph Char"/>
    <w:basedOn w:val="DefaultParagraphFont"/>
    <w:link w:val="ListParagraph"/>
    <w:uiPriority w:val="34"/>
    <w:locked/>
    <w:rsid w:val="00C53AB1"/>
    <w:rPr>
      <w:rFonts w:ascii="Times New Roman" w:eastAsia="SimSun" w:hAnsi="Times New Roman" w:cs="Times New Roman"/>
      <w:sz w:val="20"/>
      <w:szCs w:val="20"/>
    </w:rPr>
  </w:style>
  <w:style w:type="paragraph" w:styleId="Caption">
    <w:name w:val="caption"/>
    <w:basedOn w:val="Normal"/>
    <w:next w:val="Normal"/>
    <w:uiPriority w:val="35"/>
    <w:unhideWhenUsed/>
    <w:qFormat/>
    <w:rsid w:val="00F11F98"/>
    <w:pPr>
      <w:spacing w:after="200" w:line="240" w:lineRule="auto"/>
      <w:ind w:right="0" w:firstLine="0"/>
      <w:jc w:val="left"/>
    </w:pPr>
    <w:rPr>
      <w:rFonts w:asciiTheme="minorHAnsi" w:eastAsiaTheme="minorHAnsi" w:hAnsiTheme="minorHAnsi" w:cstheme="minorBidi"/>
      <w:b/>
      <w:bCs/>
      <w:color w:val="5B9BD5" w:themeColor="accent1"/>
      <w:sz w:val="18"/>
      <w:szCs w:val="18"/>
    </w:rPr>
  </w:style>
  <w:style w:type="character" w:styleId="CommentReference">
    <w:name w:val="annotation reference"/>
    <w:basedOn w:val="DefaultParagraphFont"/>
    <w:uiPriority w:val="99"/>
    <w:semiHidden/>
    <w:unhideWhenUsed/>
    <w:rsid w:val="00590FB7"/>
    <w:rPr>
      <w:sz w:val="16"/>
      <w:szCs w:val="16"/>
    </w:rPr>
  </w:style>
  <w:style w:type="paragraph" w:styleId="CommentText">
    <w:name w:val="annotation text"/>
    <w:basedOn w:val="Normal"/>
    <w:link w:val="CommentTextChar"/>
    <w:uiPriority w:val="99"/>
    <w:semiHidden/>
    <w:unhideWhenUsed/>
    <w:rsid w:val="00590FB7"/>
    <w:pPr>
      <w:spacing w:line="240" w:lineRule="auto"/>
    </w:pPr>
    <w:rPr>
      <w:sz w:val="20"/>
      <w:szCs w:val="20"/>
    </w:rPr>
  </w:style>
  <w:style w:type="character" w:customStyle="1" w:styleId="CommentTextChar">
    <w:name w:val="Comment Text Char"/>
    <w:basedOn w:val="DefaultParagraphFont"/>
    <w:link w:val="CommentText"/>
    <w:uiPriority w:val="99"/>
    <w:semiHidden/>
    <w:rsid w:val="00590FB7"/>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88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jiatiniwayan@unud.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irgifahrezi177@student.unud.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Nov18</b:Tag>
    <b:SourceType>JournalArticle</b:SourceType>
    <b:Guid>{E20E0337-F6EE-48B4-8052-DA7F747152AE}</b:Guid>
    <b:Author>
      <b:Author>
        <b:NameList>
          <b:Person>
            <b:Last>Harahap</b:Last>
            <b:First>Novy</b:First>
            <b:Middle>Ramini</b:Middle>
          </b:Person>
        </b:NameList>
      </b:Author>
    </b:Author>
    <b:Title>Faktor Faktor yang Berhubungan Dengan Kejadian Anemia pada Remaja Putri</b:Title>
    <b:JournalName>Nursing Arts, VOL XII, NO 2</b:JournalName>
    <b:Year>2018</b:Year>
    <b:Pages>78 - 90</b:Pages>
    <b:RefOrder>2</b:RefOrder>
  </b:Source>
</b:Sources>
</file>

<file path=customXml/itemProps1.xml><?xml version="1.0" encoding="utf-8"?>
<ds:datastoreItem xmlns:ds="http://schemas.openxmlformats.org/officeDocument/2006/customXml" ds:itemID="{B85C02BF-482A-48EF-AAD9-56B4E602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Elok Nur Affah Al Akromi</dc:creator>
  <cp:lastModifiedBy>X441NA WIN ORI</cp:lastModifiedBy>
  <cp:revision>4</cp:revision>
  <cp:lastPrinted>2023-09-22T09:04:00Z</cp:lastPrinted>
  <dcterms:created xsi:type="dcterms:W3CDTF">2023-09-26T08:09:00Z</dcterms:created>
  <dcterms:modified xsi:type="dcterms:W3CDTF">2023-09-28T04:09:00Z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8aec75a779c4b2712c271ffe687f77398a24aacd2559341f7fdaff86a55dee7f</vt:lpwstr>
  </property>
  <property fmtid="{D5CDD505-2E9C-101B-9397-08002B2CF9AE}" pid="3" name="Mendeley Document_1">
    <vt:lpwstr>True</vt:lpwstr>
  </property>
  <property fmtid="{D5CDD505-2E9C-101B-9397-08002B2CF9AE}" pid="4" name="Mendeley Unique User Id_1">
    <vt:lpwstr>01e7a937-baf6-3320-93b9-0f5e90f22eca</vt:lpwstr>
  </property>
  <property fmtid="{D5CDD505-2E9C-101B-9397-08002B2CF9AE}" pid="5" name="Mendeley Citation Style_1">
    <vt:lpwstr>https://csl.mendeley.com/styles/475823531/apa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https://csl.mendeley.com/styles/475823531/apa</vt:lpwstr>
  </property>
  <property fmtid="{D5CDD505-2E9C-101B-9397-08002B2CF9AE}" pid="9" name="Mendeley Recent Style Name 1_1">
    <vt:lpwstr>American Psychological Association 6th edition - Mincho Slavov</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